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2D" w:rsidRDefault="004D6A2D" w:rsidP="006D5B0F">
      <w:pPr>
        <w:tabs>
          <w:tab w:val="left" w:pos="307"/>
        </w:tabs>
        <w:spacing w:after="0" w:line="240" w:lineRule="auto"/>
        <w:jc w:val="center"/>
        <w:rPr>
          <w:rFonts w:ascii="Times New Roman" w:hAnsi="Times New Roman" w:cs="Times New Roman"/>
          <w:b/>
          <w:color w:val="2F2F2F"/>
          <w:sz w:val="32"/>
          <w:szCs w:val="32"/>
        </w:rPr>
      </w:pPr>
      <w:bookmarkStart w:id="0" w:name="_GoBack"/>
      <w:bookmarkEnd w:id="0"/>
      <w:r w:rsidRPr="006D5B0F">
        <w:rPr>
          <w:rFonts w:ascii="Times New Roman" w:hAnsi="Times New Roman" w:cs="Times New Roman"/>
          <w:b/>
          <w:color w:val="2F2F2F"/>
          <w:sz w:val="32"/>
          <w:szCs w:val="32"/>
        </w:rPr>
        <w:t xml:space="preserve">Закон України від 30.11.2021  №1914-XI  </w:t>
      </w:r>
    </w:p>
    <w:p w:rsidR="004D6A2D" w:rsidRDefault="004D6A2D" w:rsidP="006D5B0F">
      <w:pPr>
        <w:tabs>
          <w:tab w:val="left" w:pos="307"/>
        </w:tabs>
        <w:spacing w:after="0" w:line="240" w:lineRule="auto"/>
        <w:jc w:val="center"/>
        <w:rPr>
          <w:rFonts w:ascii="Times New Roman" w:hAnsi="Times New Roman" w:cs="Times New Roman"/>
          <w:b/>
          <w:color w:val="2F2F2F"/>
          <w:sz w:val="32"/>
          <w:szCs w:val="32"/>
        </w:rPr>
      </w:pPr>
      <w:r w:rsidRPr="006D5B0F">
        <w:rPr>
          <w:rFonts w:ascii="Times New Roman" w:hAnsi="Times New Roman" w:cs="Times New Roman"/>
          <w:b/>
          <w:color w:val="2F2F2F"/>
          <w:sz w:val="32"/>
          <w:szCs w:val="32"/>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w:t>
      </w:r>
    </w:p>
    <w:p w:rsidR="004D6A2D" w:rsidRPr="00316C3E" w:rsidRDefault="004D6A2D" w:rsidP="006D5B0F">
      <w:pPr>
        <w:tabs>
          <w:tab w:val="left" w:pos="307"/>
        </w:tabs>
        <w:spacing w:after="0" w:line="240" w:lineRule="auto"/>
        <w:jc w:val="center"/>
        <w:rPr>
          <w:rFonts w:ascii="Times New Roman" w:hAnsi="Times New Roman" w:cs="Times New Roman"/>
          <w:b/>
          <w:color w:val="2F2F2F"/>
          <w:sz w:val="28"/>
          <w:szCs w:val="28"/>
        </w:rPr>
      </w:pPr>
      <w:r w:rsidRPr="00316C3E">
        <w:rPr>
          <w:rFonts w:ascii="Times New Roman" w:hAnsi="Times New Roman" w:cs="Times New Roman"/>
          <w:b/>
          <w:color w:val="2F2F2F"/>
          <w:sz w:val="28"/>
          <w:szCs w:val="28"/>
        </w:rPr>
        <w:t>(офіційно оприлюднено в газеті «Голос Україні» від 21 грудня 2021 року №244)</w:t>
      </w:r>
    </w:p>
    <w:p w:rsidR="004D6A2D" w:rsidRDefault="004D6A2D" w:rsidP="00A02F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gridCol w:w="5637"/>
      </w:tblGrid>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b/>
                <w:sz w:val="32"/>
                <w:szCs w:val="32"/>
                <w:lang w:eastAsia="en-US"/>
              </w:rPr>
            </w:pPr>
          </w:p>
          <w:p w:rsidR="004D6A2D" w:rsidRPr="0020280B" w:rsidRDefault="004D6A2D" w:rsidP="0020280B">
            <w:pPr>
              <w:spacing w:after="0" w:line="240" w:lineRule="auto"/>
              <w:jc w:val="center"/>
              <w:rPr>
                <w:rFonts w:ascii="Times New Roman" w:hAnsi="Times New Roman" w:cs="Times New Roman"/>
                <w:b/>
                <w:sz w:val="32"/>
                <w:szCs w:val="32"/>
                <w:lang w:eastAsia="en-US"/>
              </w:rPr>
            </w:pPr>
            <w:r w:rsidRPr="0020280B">
              <w:rPr>
                <w:rFonts w:ascii="Times New Roman" w:hAnsi="Times New Roman" w:cs="Times New Roman"/>
                <w:b/>
                <w:sz w:val="32"/>
                <w:szCs w:val="32"/>
                <w:lang w:eastAsia="en-US"/>
              </w:rPr>
              <w:t>Особливості визначення загального мінімального податкового зобов’язання</w:t>
            </w:r>
          </w:p>
          <w:p w:rsidR="004D6A2D" w:rsidRPr="0020280B" w:rsidRDefault="004D6A2D" w:rsidP="0020280B">
            <w:pPr>
              <w:spacing w:after="0" w:line="240" w:lineRule="auto"/>
              <w:jc w:val="center"/>
              <w:rPr>
                <w:rFonts w:ascii="Cambria" w:hAnsi="Cambria" w:cs="Times New Roman"/>
                <w:b/>
                <w:sz w:val="32"/>
                <w:szCs w:val="32"/>
                <w:lang w:eastAsia="en-US"/>
              </w:rPr>
            </w:pPr>
          </w:p>
        </w:tc>
      </w:tr>
      <w:tr w:rsidR="004D6A2D" w:rsidTr="0020280B">
        <w:tc>
          <w:tcPr>
            <w:tcW w:w="9889" w:type="dxa"/>
          </w:tcPr>
          <w:p w:rsidR="004D6A2D" w:rsidRPr="0020280B" w:rsidRDefault="004D6A2D" w:rsidP="0020280B">
            <w:pPr>
              <w:spacing w:after="0" w:line="240" w:lineRule="auto"/>
              <w:jc w:val="center"/>
              <w:rPr>
                <w:rFonts w:ascii="Times New Roman" w:hAnsi="Times New Roman" w:cs="Times New Roman"/>
                <w:b/>
                <w:lang w:eastAsia="en-US"/>
              </w:rPr>
            </w:pPr>
            <w:r w:rsidRPr="0020280B">
              <w:rPr>
                <w:rFonts w:ascii="Times New Roman" w:hAnsi="Times New Roman" w:cs="Times New Roman"/>
                <w:b/>
                <w:sz w:val="28"/>
                <w:szCs w:val="28"/>
              </w:rPr>
              <w:t>редакція норм ПКУ із змінами,  внесеними Законом України від 30.11.2021  №1914-XI</w:t>
            </w:r>
          </w:p>
          <w:p w:rsidR="004D6A2D" w:rsidRPr="0020280B" w:rsidRDefault="004D6A2D" w:rsidP="0020280B">
            <w:pPr>
              <w:spacing w:after="0" w:line="240" w:lineRule="auto"/>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jc w:val="center"/>
              <w:rPr>
                <w:rFonts w:ascii="Times New Roman" w:hAnsi="Times New Roman" w:cs="Times New Roman"/>
                <w:b/>
                <w:sz w:val="28"/>
                <w:szCs w:val="28"/>
              </w:rPr>
            </w:pPr>
            <w:r w:rsidRPr="0020280B">
              <w:rPr>
                <w:rFonts w:ascii="Times New Roman" w:hAnsi="Times New Roman" w:cs="Times New Roman"/>
                <w:b/>
                <w:sz w:val="28"/>
                <w:szCs w:val="28"/>
              </w:rPr>
              <w:t>Набуття чинності</w:t>
            </w:r>
          </w:p>
          <w:p w:rsidR="004D6A2D" w:rsidRPr="0020280B" w:rsidRDefault="004D6A2D" w:rsidP="0020280B">
            <w:pPr>
              <w:spacing w:after="0" w:line="240" w:lineRule="auto"/>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Термін - мінімальне податкове зобов’язання та загальне  мінімальне  податкове  зобов’язання</w:t>
            </w:r>
          </w:p>
        </w:tc>
      </w:tr>
      <w:tr w:rsidR="004D6A2D" w:rsidTr="0020280B">
        <w:tc>
          <w:tcPr>
            <w:tcW w:w="9889" w:type="dxa"/>
          </w:tcPr>
          <w:p w:rsidR="004D6A2D" w:rsidRPr="0020280B" w:rsidRDefault="004D6A2D" w:rsidP="0020280B">
            <w:pPr>
              <w:spacing w:after="12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14.1.114</w:t>
            </w:r>
            <w:r w:rsidRPr="0020280B">
              <w:rPr>
                <w:rFonts w:ascii="Times New Roman" w:hAnsi="Times New Roman" w:cs="Times New Roman"/>
                <w:sz w:val="26"/>
                <w:szCs w:val="26"/>
                <w:vertAlign w:val="superscript"/>
                <w:lang w:eastAsia="en-US"/>
              </w:rPr>
              <w:t>2</w:t>
            </w:r>
            <w:r w:rsidRPr="0020280B">
              <w:rPr>
                <w:rFonts w:ascii="Times New Roman" w:hAnsi="Times New Roman" w:cs="Times New Roman"/>
                <w:sz w:val="26"/>
                <w:szCs w:val="26"/>
                <w:lang w:eastAsia="en-US"/>
              </w:rPr>
              <w:t xml:space="preserve">. </w:t>
            </w:r>
            <w:r w:rsidRPr="0020280B">
              <w:rPr>
                <w:rFonts w:ascii="Times New Roman" w:hAnsi="Times New Roman" w:cs="Times New Roman"/>
                <w:b/>
                <w:sz w:val="26"/>
                <w:szCs w:val="26"/>
                <w:lang w:eastAsia="en-US"/>
              </w:rPr>
              <w:t>мінімальне податкове зобов’язання</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мінімальна величина податкового зобов’язання із сплати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розрахована відповідно до цього Кодексу. Сума мінімальних податкових зобов’язань, визначених щодо кожної із земельних ділянок, право користування якими належить одній юридичній або фізичній особі, у тому числі фізичній особі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підприємцю, </w:t>
            </w:r>
            <w:r w:rsidRPr="0020280B">
              <w:rPr>
                <w:rFonts w:ascii="Times New Roman" w:hAnsi="Times New Roman" w:cs="Times New Roman"/>
                <w:b/>
                <w:sz w:val="26"/>
                <w:szCs w:val="26"/>
                <w:lang w:eastAsia="en-US"/>
              </w:rPr>
              <w:t>є загальним мінімальним податковим зобов’язанням</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Як визначається мінімальне  податкового зобов’язання   (МПЗ) щодо земельної ділянки, нормативна грошова оцінка якої проведена</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.1.1. Мінімальне податкове зобов’язання (МПЗ) щодо земельної ділянки, нормативна грошова оцінка якої проведена, обчислюється за формулою: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МПЗ = НГОд × К× М / 12,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де: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МПЗ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мінімальне податкове зобов’язання;</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НГОд</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нормативна грошова оцінка відповідної земельної ділянки з урахуванням коефіцієнта індексації, визначеного відповідно до порядку, встановленого цим Кодексом для справляння плати за землю;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 xml:space="preserve">К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коефіцієнт, який становить 0,05;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кількість календарних місяців, протягом яких земельна ділянка перебуває у власності, оренді, користуванні на інших умовах (в тому числі на умовах емфітевзису) платника податків.</w:t>
            </w:r>
          </w:p>
        </w:tc>
        <w:tc>
          <w:tcPr>
            <w:tcW w:w="5637" w:type="dxa"/>
          </w:tcPr>
          <w:p w:rsidR="004D6A2D" w:rsidRPr="0020280B" w:rsidRDefault="004D6A2D" w:rsidP="0020280B">
            <w:pPr>
              <w:spacing w:after="0" w:line="240" w:lineRule="auto"/>
              <w:ind w:firstLine="175"/>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lastRenderedPageBreak/>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120" w:line="240" w:lineRule="auto"/>
              <w:ind w:firstLine="175"/>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t>- Тимчасово, для розрахунку мінімального податкового зобов’язання за 2022 та 2023 податкові (звітні) роки коефіцієнт "К", визначений у підпунктах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.1.1 і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.1.2 </w:t>
            </w:r>
            <w:r w:rsidRPr="0020280B">
              <w:rPr>
                <w:rFonts w:ascii="Times New Roman" w:hAnsi="Times New Roman" w:cs="Times New Roman"/>
                <w:sz w:val="28"/>
                <w:szCs w:val="28"/>
                <w:lang w:eastAsia="en-US"/>
              </w:rPr>
              <w:lastRenderedPageBreak/>
              <w:t>статті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застосовується із значенням 0,04 (п.67 </w:t>
            </w:r>
            <w:r w:rsidRPr="0020280B">
              <w:rPr>
                <w:rFonts w:ascii="Times New Roman" w:hAnsi="Times New Roman" w:cs="Times New Roman"/>
                <w:bCs/>
                <w:sz w:val="28"/>
                <w:szCs w:val="28"/>
                <w:lang w:eastAsia="en-US"/>
              </w:rPr>
              <w:t xml:space="preserve"> підрозділ 10 ПКУ)</w:t>
            </w:r>
          </w:p>
          <w:p w:rsidR="004D6A2D" w:rsidRPr="0020280B" w:rsidRDefault="004D6A2D" w:rsidP="0020280B">
            <w:pPr>
              <w:spacing w:after="0" w:line="240" w:lineRule="auto"/>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Як визначається мінімальне податкове зобов’язання (МПЗ) щодо земельної ділянки, нормативна грошова оцінка якої не проведена</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.1.2. Мінімальне податкове зобов’язання (МПЗ) щодо земельної ділянки, нормативна грошова оцінка якої не проведена, обчислюється за формулою: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МПЗ = НГО × S × К× М / 12,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де: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МПЗ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мінімальне податкове зобов’язання;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НГО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нормативна грошова оцінка 1 гектара ріллі по Автономній Республіці Крим або по області з урахуванням коефіцієнта індексації, визначеного відповідно до порядку, встановленого цим Кодексом для справляння плати за землю;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S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площа земельної ділянки, гектарах;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К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коефіцієнт, що становить 0,05;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М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кількість календарних місяців, протягом яких земельна ділянка перебуває у власності, оренді, користуванні на інших умовах (в тому числі на умовах емфітевзису) платника податків. </w:t>
            </w:r>
          </w:p>
        </w:tc>
        <w:tc>
          <w:tcPr>
            <w:tcW w:w="5637" w:type="dxa"/>
          </w:tcPr>
          <w:p w:rsidR="004D6A2D" w:rsidRPr="0020280B" w:rsidRDefault="004D6A2D" w:rsidP="0020280B">
            <w:pPr>
              <w:spacing w:after="0" w:line="240" w:lineRule="auto"/>
              <w:ind w:firstLine="175"/>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ind w:firstLine="175"/>
              <w:jc w:val="both"/>
              <w:rPr>
                <w:rFonts w:ascii="Times New Roman" w:hAnsi="Times New Roman" w:cs="Times New Roman"/>
                <w:sz w:val="28"/>
                <w:szCs w:val="28"/>
                <w:lang w:eastAsia="en-US"/>
              </w:rPr>
            </w:pPr>
          </w:p>
          <w:p w:rsidR="004D6A2D" w:rsidRPr="0020280B" w:rsidRDefault="004D6A2D" w:rsidP="0020280B">
            <w:pPr>
              <w:spacing w:after="120" w:line="240" w:lineRule="auto"/>
              <w:ind w:firstLine="175"/>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t>- Тимчасово, для розрахунку мінімального податкового зобов’язання за 2022 та 2023 податкові (звітні) роки коефіцієнт "К", визначений у підпунктах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.1.1 і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.1.2 статті 38</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застосовується із значенням 0,04 (п.67 </w:t>
            </w:r>
            <w:r w:rsidRPr="0020280B">
              <w:rPr>
                <w:rFonts w:ascii="Times New Roman" w:hAnsi="Times New Roman" w:cs="Times New Roman"/>
                <w:bCs/>
                <w:sz w:val="28"/>
                <w:szCs w:val="28"/>
                <w:lang w:eastAsia="en-US"/>
              </w:rPr>
              <w:t xml:space="preserve"> підрозділ 10 ПКУ)</w:t>
            </w:r>
          </w:p>
          <w:p w:rsidR="004D6A2D" w:rsidRPr="0020280B" w:rsidRDefault="004D6A2D" w:rsidP="0020280B">
            <w:pPr>
              <w:spacing w:after="0" w:line="240" w:lineRule="auto"/>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 xml:space="preserve">Обчислення мінімального податкового зобов’язання платниками єдиного податку четвертої групи – фізичними особами </w:t>
            </w:r>
            <w:r w:rsidRPr="0020280B">
              <w:rPr>
                <w:rFonts w:ascii="Times New Roman" w:hAnsi="Times New Roman" w:cs="Times New Roman"/>
                <w:b/>
                <w:sz w:val="28"/>
                <w:szCs w:val="28"/>
                <w:lang w:val="en-US" w:eastAsia="en-US"/>
              </w:rPr>
              <w:sym w:font="Symbol" w:char="F02D"/>
            </w:r>
            <w:r w:rsidRPr="0020280B">
              <w:rPr>
                <w:rFonts w:ascii="Times New Roman" w:hAnsi="Times New Roman" w:cs="Times New Roman"/>
                <w:b/>
                <w:sz w:val="28"/>
                <w:szCs w:val="28"/>
                <w:lang w:eastAsia="en-US"/>
              </w:rPr>
              <w:t xml:space="preserve"> підприємцями, які провадять діяльність виключно в межах фермерського господарств</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.1.3. При обчисленні мінімального податкового зобов’язання платниками єдиного податку четвертої групи – фізичними особами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підприємцями, які провадять діяльність виключно в межах фермерського господарства, зареєстрованого відповідно до Закону України "Про фермерське господарство", коефіцієнт "К", визначений у підпунктах 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.1.1 і 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.1.2 цього пункту, застосовується у половинному розмірі. </w:t>
            </w:r>
          </w:p>
        </w:tc>
        <w:tc>
          <w:tcPr>
            <w:tcW w:w="5637" w:type="dxa"/>
          </w:tcPr>
          <w:p w:rsidR="004D6A2D" w:rsidRPr="0020280B" w:rsidRDefault="004D6A2D" w:rsidP="0020280B">
            <w:pPr>
              <w:spacing w:after="0" w:line="240" w:lineRule="auto"/>
              <w:rPr>
                <w:rFonts w:ascii="Times New Roman" w:hAnsi="Times New Roman" w:cs="Times New Roman"/>
                <w:sz w:val="28"/>
                <w:szCs w:val="28"/>
                <w:lang w:eastAsia="en-US"/>
              </w:rPr>
            </w:pPr>
          </w:p>
          <w:p w:rsidR="004D6A2D" w:rsidRPr="0020280B" w:rsidRDefault="004D6A2D" w:rsidP="0020280B">
            <w:pPr>
              <w:spacing w:after="0" w:line="240" w:lineRule="auto"/>
              <w:ind w:firstLine="175"/>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ind w:firstLine="175"/>
              <w:jc w:val="both"/>
              <w:rPr>
                <w:rFonts w:ascii="Times New Roman" w:hAnsi="Times New Roman" w:cs="Times New Roman"/>
                <w:sz w:val="28"/>
                <w:szCs w:val="28"/>
                <w:lang w:eastAsia="en-US"/>
              </w:rPr>
            </w:pPr>
          </w:p>
          <w:p w:rsidR="004D6A2D" w:rsidRPr="0020280B" w:rsidRDefault="004D6A2D" w:rsidP="0020280B">
            <w:pPr>
              <w:spacing w:after="120" w:line="240" w:lineRule="auto"/>
              <w:ind w:firstLine="175"/>
              <w:jc w:val="both"/>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За який період визначається мінімальне податкове зобов’язання</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.1.4. Мінімальне податкове зобов’язання визначається за період володіння (користування) земельною ділянкою, який припадає на відповідний податковий (звітний) рік.</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Коли не визначається мінімальне податкове зобов’язання</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.2. Мінімальне податкове зобов’язання не визначається для:</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земельних ділянок, що використовуються дачними (дачно-будівельними) та садівничими (городницькими) кооперативами (товариствами), а також набуті у власність/користування членами цих кооперативів (товариств) у результаті приватизації (купівлі/продажу, оренди) у межах земель, що належали цим кооперативам (товариствам) на праві колективної власності чи перебували у їх постійному користуванні;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 запасу;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невитребуваних земельних часток (паїв), розпорядниками яких є органи місцевого самоврядування, крім таких земельних часток (паїв), переданих органами місцевого самоврядування в оренду;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земельних ділянок зон відчуження та безумовного (обов’язкового) відселення, що зазнали радіоактивного забруднення внаслідок Чорнобильської катастрофи;</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земельних ділянок, віднесених до сільськогосподарських угідь, які належать фізичним особам на праві власності та/або на праві користування та станом на 1 січня 2022 року знаходилися у межах населених пунктів</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Як визначається мінімальне податкове зобов’язання у разі передачі земельних ділянок в оренду</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.3. У разі передачі земельних ділянок в оренду (суборенду), емфітевзис або інше користування мінімальне податкове зобов’язання визначається для орендарів, користувачів на інших умовах таких земельних ділянок у порядку, визначеному цим Кодексом.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tabs>
                <w:tab w:val="left" w:pos="2020"/>
              </w:tabs>
              <w:spacing w:after="0" w:line="240" w:lineRule="auto"/>
              <w:rPr>
                <w:rFonts w:ascii="Cambria" w:hAnsi="Cambria" w:cs="Times New Roman"/>
                <w:lang w:eastAsia="en-US"/>
              </w:rPr>
            </w:pPr>
            <w:r w:rsidRPr="0020280B">
              <w:rPr>
                <w:rFonts w:ascii="Cambria" w:hAnsi="Cambria" w:cs="Times New Roman"/>
                <w:lang w:eastAsia="en-US"/>
              </w:rPr>
              <w:tab/>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Як визначається мінімальне податкове зобов’язання у разі переходу права власності або права користування, у тому числі оренди, емфітевзису, суборенди</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.4. У разі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та за умови державної реєстрації такого права відповідно до законодавства, мінімальне податкове зобов’язання щодо такої земельної ділянки визначається для попереднього власника, орендаря, користувача на інших умовах (в тому числі на умовах емфітевзису) за період з 1 січня такого календарного року до початку місяця, в якому припинилося право власності на таку земельну ділянку, або в якому така земельна ділянка передана </w:t>
            </w:r>
            <w:r w:rsidRPr="0020280B">
              <w:rPr>
                <w:rFonts w:ascii="Times New Roman" w:hAnsi="Times New Roman" w:cs="Times New Roman"/>
                <w:sz w:val="26"/>
                <w:szCs w:val="26"/>
                <w:lang w:eastAsia="en-US"/>
              </w:rPr>
              <w:lastRenderedPageBreak/>
              <w:t xml:space="preserve">в користування (оренду, суборенду, емфітевзис), а для нового власника, орендаря або користувача на інших умовах (в тому числі на умовах емфітевзису) </w:t>
            </w:r>
            <w:r w:rsidRPr="0020280B">
              <w:rPr>
                <w:rFonts w:ascii="Times New Roman" w:hAnsi="Times New Roman" w:cs="Times New Roman"/>
                <w:sz w:val="26"/>
                <w:szCs w:val="26"/>
                <w:lang w:eastAsia="en-US"/>
              </w:rPr>
              <w:sym w:font="Symbol" w:char="F02D"/>
            </w:r>
            <w:r w:rsidRPr="0020280B">
              <w:rPr>
                <w:rFonts w:ascii="Times New Roman" w:hAnsi="Times New Roman" w:cs="Times New Roman"/>
                <w:sz w:val="26"/>
                <w:szCs w:val="26"/>
                <w:lang w:eastAsia="en-US"/>
              </w:rPr>
              <w:t xml:space="preserve"> починаючи з місяця, в якому він набув право власності або право користування, у тому числі оренди, емфітевзису, суборенди на таку земельну ділянку, та враховується у складі загального мінімального податкового зобов’язання кожного з таких власників або користувачів.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У разі відсутності державної реєстрації переходу права власності або права користування, у тому числі оренди, емфітевзису, суборенди, на земельну ділянку, віднесену до сільськогосподарських угідь,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мінімальне податкове зобов’язання щодо такої земельної ділянки визначається для попереднього власника, орендаря, користувача на інших умовах (в тому числі на умовах емфітевзису) на загальних підставах за податковий (звітний) рік</w:t>
            </w:r>
          </w:p>
          <w:p w:rsidR="004D6A2D" w:rsidRPr="0020280B" w:rsidRDefault="004D6A2D" w:rsidP="0020280B">
            <w:pPr>
              <w:spacing w:after="0" w:line="240" w:lineRule="auto"/>
              <w:ind w:firstLine="284"/>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lastRenderedPageBreak/>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Розділ ХХ. ПЕРЕХІДНІ ПОЛОЖЕННЯ   підрозділ 10:</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38.14. На період здійснення заходів із забезпечення проведення операції Об’єднаних сил (ООС) щодо земельних ділянок, віднесених до сільськогосподарських угідь, що розташовані на тимчасово окупованій території та/або території населених пунктів на лінії зіткнення, мінімальне податкове зобов’язання не визначається</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Times New Roman" w:hAnsi="Times New Roman" w:cs="Times New Roman"/>
                <w:sz w:val="28"/>
                <w:szCs w:val="28"/>
                <w:lang w:eastAsia="en-US"/>
              </w:rPr>
            </w:pPr>
            <w:r w:rsidRPr="0020280B">
              <w:rPr>
                <w:rFonts w:ascii="Times New Roman" w:hAnsi="Times New Roman" w:cs="Times New Roman"/>
                <w:sz w:val="28"/>
                <w:szCs w:val="28"/>
                <w:lang w:eastAsia="en-US"/>
              </w:rPr>
              <w:t>Набирає чинності з 1 січня 2022 року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32"/>
                <w:szCs w:val="32"/>
                <w:lang w:eastAsia="en-US"/>
              </w:rPr>
            </w:pPr>
            <w:r w:rsidRPr="0020280B">
              <w:rPr>
                <w:rFonts w:ascii="Times New Roman" w:hAnsi="Times New Roman" w:cs="Times New Roman"/>
                <w:b/>
                <w:sz w:val="32"/>
                <w:szCs w:val="32"/>
                <w:lang w:eastAsia="en-US"/>
              </w:rPr>
              <w:t>Особливості визначення загального мінімального податкового зобов’язання платників податку на доходи фізичних осіб</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Для фізичних осіб загальне мінімальне податкове зобов’язання визначається контролюючим органом</w:t>
            </w:r>
          </w:p>
        </w:tc>
      </w:tr>
      <w:tr w:rsidR="004D6A2D" w:rsidTr="0020280B">
        <w:tc>
          <w:tcPr>
            <w:tcW w:w="9889" w:type="dxa"/>
          </w:tcPr>
          <w:p w:rsidR="004D6A2D" w:rsidRPr="0020280B" w:rsidRDefault="004D6A2D" w:rsidP="0020280B">
            <w:pPr>
              <w:spacing w:after="12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 Особливості визначення загального мінімального податкового зобов’язання платників податку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власників, орендарів, користувачів на інших умовах (в тому числі на умовах емфітевзису) земельних ділянок, віднесених до сільськогосподарських угідь. </w:t>
            </w:r>
          </w:p>
          <w:p w:rsidR="004D6A2D" w:rsidRPr="0020280B" w:rsidRDefault="004D6A2D" w:rsidP="0020280B">
            <w:pPr>
              <w:spacing w:after="12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170.14.1. Для платників податку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власників, орендарів, користувачів на інших умовах (в тому числі на умовах емфітевзису)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 загальне мінімальне податкове зобов’язання визначається контролюючим органом. </w:t>
            </w:r>
          </w:p>
        </w:tc>
        <w:tc>
          <w:tcPr>
            <w:tcW w:w="5637" w:type="dxa"/>
          </w:tcPr>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lastRenderedPageBreak/>
              <w:t>У разі передачі земельних ділянок в оренду (суборенду), їх розмір враховується при визначенні загального мінімального податкового зобов’язання орендарів</w:t>
            </w:r>
          </w:p>
        </w:tc>
      </w:tr>
      <w:tr w:rsidR="004D6A2D" w:rsidTr="0020280B">
        <w:tc>
          <w:tcPr>
            <w:tcW w:w="9889" w:type="dxa"/>
          </w:tcPr>
          <w:p w:rsidR="004D6A2D" w:rsidRPr="0020280B" w:rsidRDefault="004D6A2D" w:rsidP="0020280B">
            <w:pPr>
              <w:spacing w:after="12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170.14.2. У разі передачі таких земельних ділянок в оренду (суборенду), емфітевзис або інше користування на підставі договорів, укладених та зареєстрованих відповідно до законодавства, їх розмір враховується при визначенні загального мінімального податкового зобов’язання орендарів, користувачів на інших умовах (в тому числі на умовах емфітевзису) таких земельних ділянок у порядку, встановленому цим Кодексом. </w:t>
            </w:r>
          </w:p>
        </w:tc>
        <w:tc>
          <w:tcPr>
            <w:tcW w:w="5637" w:type="dxa"/>
          </w:tcPr>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Податкове повідомлення-рішення разом з детальним розрахунком суми податку про сплату річного податкового зобов’язання з податку на доходи фізичних осіб надсилається платнику податку до 1 липня року, наступного за звітним</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170.14.3. Визначення загального мінімального податкового зобов’язання фізичним особам здійснюється контролюючими органами за податковою адресою таких осіб.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Мінімальне податкове зобов’язання обчислюється контролюючим органом на підставі даних Державного реєстру речових прав на нерухоме майно, Державного земельного кадастру та/або на підставі оригіналів чи належним чином засвідчених копій відповідних документів платника податків, зокрема документів, що підтверджують право власності/користування.</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При обчисленні мінімального податкового зобов’язання нормативна грошова оцінка земельних ділянок застосовується контролюючими органами з урахуванням вимог, встановлених пунктом 271.2 статті 271 цього Кодексу.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разі державної реєстрації платника податку фізичною особою </w:t>
            </w:r>
            <w:r w:rsidRPr="0020280B">
              <w:rPr>
                <w:rFonts w:ascii="Times New Roman" w:hAnsi="Times New Roman" w:cs="Times New Roman"/>
                <w:sz w:val="26"/>
                <w:szCs w:val="26"/>
                <w:lang w:eastAsia="en-US"/>
              </w:rPr>
              <w:sym w:font="Symbol" w:char="F02D"/>
            </w:r>
            <w:r w:rsidRPr="0020280B">
              <w:rPr>
                <w:rFonts w:ascii="Times New Roman" w:hAnsi="Times New Roman" w:cs="Times New Roman"/>
                <w:sz w:val="26"/>
                <w:szCs w:val="26"/>
                <w:lang w:eastAsia="en-US"/>
              </w:rPr>
              <w:t xml:space="preserve"> підприємцем загальне мінімальне податкове зобов’язання за земельні ділянки, віднесені до сільськогосподарських угідь, які використовуються таким підприємцем для провадження господарського діяльності, розраховується таким платником у порядку, визначеному пунктом 177.14 статті 177 та </w:t>
            </w:r>
            <w:r w:rsidRPr="0020280B">
              <w:rPr>
                <w:rFonts w:ascii="Times New Roman" w:hAnsi="Times New Roman" w:cs="Times New Roman"/>
                <w:sz w:val="26"/>
                <w:szCs w:val="26"/>
                <w:lang w:eastAsia="en-US"/>
              </w:rPr>
              <w:br/>
              <w:t>статтею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 цього Кодексу, з першого числа місяця, наступного за місяцем, у якому відбулася державна реєстрація фізичної особи </w:t>
            </w:r>
            <w:r w:rsidRPr="0020280B">
              <w:rPr>
                <w:rFonts w:ascii="Times New Roman" w:hAnsi="Times New Roman" w:cs="Times New Roman"/>
                <w:sz w:val="26"/>
                <w:szCs w:val="26"/>
                <w:lang w:eastAsia="en-US"/>
              </w:rPr>
              <w:sym w:font="Symbol" w:char="F02D"/>
            </w:r>
            <w:r w:rsidRPr="0020280B">
              <w:rPr>
                <w:rFonts w:ascii="Times New Roman" w:hAnsi="Times New Roman" w:cs="Times New Roman"/>
                <w:sz w:val="26"/>
                <w:szCs w:val="26"/>
                <w:lang w:eastAsia="en-US"/>
              </w:rPr>
              <w:t xml:space="preserve"> підприємця.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Податкове повідомлення-рішення разом з детальним розрахунком суми податку про сплату річного податкового зобов’язання з податку на доходи фізичних осіб, на суму позитивного значення різниці між сумою загального мінімального податкового зобов’язання та сумою сплачених протягом податкового (звітного) року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w:t>
            </w:r>
            <w:r w:rsidRPr="0020280B">
              <w:rPr>
                <w:rFonts w:ascii="Times New Roman" w:hAnsi="Times New Roman" w:cs="Times New Roman"/>
                <w:sz w:val="26"/>
                <w:szCs w:val="26"/>
                <w:lang w:eastAsia="en-US"/>
              </w:rPr>
              <w:lastRenderedPageBreak/>
              <w:t xml:space="preserve">сільськогосподарських угідь (далі у цьому пункті – загальна сума сплачених податків, зборів, платежів), надсилається (вручається) платнику податку у порядку, визначеному статтею 42 цього Кодексу, до 1 липня року, наступного за звітним.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Якщо контролюючий орган не надіслав (не вручив) таке податкове повідомлення-рішення разом з детальним розрахунком суми податку у зазначений строк, фізична особа звільняється від відповідальності, передбаченої цим Кодексом за несвоєчасну сплату річного податкового зобов’язання на суму позитивного значення різниці між сумою загального мінімального податкового зобов’язання та загальною сумою сплачених податків, зборів, платежів.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Таке річне податкове зобов’язання може бути нараховано за податкові (звітні) періоди (роки) в межах строків, визначених пунктом 102.1 статті 102 цього Кодексу.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Позитивне значення різниці між сумою загального мінімального податкового зобов’язання та загальною сумою сплачених податків, зборів, платежів є частиною зобов’язань з податку на доходи фізичних осіб.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Сума податку на доходи фізичних осіб у частині позитивного значення різниці між сумою загального мінімального податкового зобов’язання та загальною сумою сплачених податків, зборів, платежів розподіляється контролюючим органом пропорційно до питомої ваги площі кожної із земельних ділянок, віднесених до сільськогосподарських угідь, та сплачується (перераховується) до місцевих бюджетів за місцезнаходженням таких земельних ділянок. </w:t>
            </w:r>
          </w:p>
        </w:tc>
        <w:tc>
          <w:tcPr>
            <w:tcW w:w="5637" w:type="dxa"/>
          </w:tcPr>
          <w:p w:rsidR="004D6A2D" w:rsidRPr="0020280B" w:rsidRDefault="004D6A2D" w:rsidP="0020280B">
            <w:pPr>
              <w:spacing w:after="0" w:line="240" w:lineRule="auto"/>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lastRenderedPageBreak/>
              <w:t>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jc w:val="both"/>
              <w:rPr>
                <w:rFonts w:ascii="Times New Roman" w:hAnsi="Times New Roman" w:cs="Times New Roman"/>
                <w:sz w:val="28"/>
                <w:szCs w:val="28"/>
                <w:lang w:eastAsia="en-US"/>
              </w:rPr>
            </w:pPr>
          </w:p>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 xml:space="preserve">Загальне мінімальне податкове  зобов’язання фізичним особам здійснюється контролюючими органами </w:t>
            </w:r>
            <w:r w:rsidRPr="0020280B">
              <w:rPr>
                <w:rFonts w:ascii="Times New Roman" w:hAnsi="Times New Roman" w:cs="Times New Roman"/>
                <w:b/>
                <w:sz w:val="28"/>
                <w:szCs w:val="28"/>
                <w:lang w:eastAsia="en-US"/>
              </w:rPr>
              <w:t>за податковою адресою таких осіб</w:t>
            </w:r>
          </w:p>
        </w:tc>
      </w:tr>
      <w:tr w:rsidR="004D6A2D" w:rsidTr="0020280B">
        <w:tc>
          <w:tcPr>
            <w:tcW w:w="9889" w:type="dxa"/>
          </w:tcPr>
          <w:p w:rsidR="004D6A2D" w:rsidRPr="0020280B" w:rsidRDefault="004D6A2D" w:rsidP="0020280B">
            <w:pPr>
              <w:spacing w:after="12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 xml:space="preserve">170.14.4. Сума податку на доходи фізичних осіб у частині позитивного значення такої різниці не враховується у загальній сумі сплачених податків, зборів, платежів у наступному податковому (звітному) році.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Які податки включаються до загальної суми сплачених протягом податкового (звітного) року податків</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170.14.5. До загальної суми сплачених протягом податкового (звітного) року податків, зборів, платежів платника податку включаються: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від продажу власної сільськогосподарської продукції;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земельний податок за земельні ділянки, віднесені до сільськогосподарських угідь.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не враховуються помилково та/або надміру сплачені у податковому (звітному) році суми податків, зборів, платежів.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Платник податку зобов’язаний сплатити зазначену у податковому повідомленні-рішенні суму податку протягом 60 днів з дня вручення податкового повідомлення-рішення</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170.14.6. У разі згоди платника податку з визначеним контролюючим органом </w:t>
            </w:r>
            <w:r w:rsidRPr="0020280B">
              <w:rPr>
                <w:rFonts w:ascii="Times New Roman" w:hAnsi="Times New Roman" w:cs="Times New Roman"/>
                <w:sz w:val="26"/>
                <w:szCs w:val="26"/>
                <w:lang w:eastAsia="en-US"/>
              </w:rPr>
              <w:lastRenderedPageBreak/>
              <w:t xml:space="preserve">загальним мінімальним податковим зобов’язанням та/або розрахованою сумою річного податкового зобов’язання з податку на доходи фізичних осіб такий платник податку зобов’язаний сплатити зазначену у відповідному податковому повідомленні-рішенні суму податку протягом 60 днів з дня вручення податкового повідомлення-рішення.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разі незгоди платника податку з визначеним контролюючим органом загальним мінімальним податковим зобов’язанням та/або розрахованою у відповідному податковому повідомленні-рішенні сумою річного податкового зобов’язання з податку на доходи фізичних осіб такий платник податку має право у порядку, встановленому статтею 42 цього Кодексу, протягом 30 днів з дня вручення податкового повідомлення-рішення звернутися до контролюючого органу для проведення звірки даних, використаних для розрахунку суми податку на доходи фізичних осіб, з наданням підтвердних документів, зокрема щодо: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земельних ділянок, що знаходяться у платника податку у власності та/або постійному користуванні або в оренді (суборенді, емфітевзисі), їх нормативної грошової оцінки та площі;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суми доходу, отриманого від реалізації власної сільськогосподарської продукції;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суми сплачених податків, зборів, платежів.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разі подання платником податку до контролюючого органу правовстановлюючих документів на земельні ділянки або договорів про передачу в оренду, емфітевзис або інше користування земельних ділянок, укладених та зареєстрованих відповідно до законодавства, відомості про які відсутні у базах даних інформаційних систем центрального органу виконавчої влади, що реалізує державну податкову політику, обчислення мінімального податкового зобов’язання здійснюється на підставі поданих платником податку відомостей до отримання контролюючим органом інформації від відповідних органів про власність/користування або перехід права власності/користування на такі земельні ділянки.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Якщо за результатами звірки виявлено розбіжності між даними контролюючого органу та даними, підтвердженими платником податку на підставі оригіналів відповідних документів, контролюючий орган протягом 10 днів, наступних за днем завершення звірки, зобов’язаний скасувати (відкликати) таке податкове повідомлення-рішення та у разі потреби надіслати (вручити) платнику податку нове податкове повідомлення-рішення разом з детальним розрахунком суми податку, складене з урахуванням результатів проведеної звірки.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lastRenderedPageBreak/>
              <w:t xml:space="preserve">Набирає чинності з 1 січня 2022 року, при </w:t>
            </w:r>
            <w:r w:rsidRPr="0020280B">
              <w:rPr>
                <w:rFonts w:ascii="Times New Roman" w:hAnsi="Times New Roman" w:cs="Times New Roman"/>
                <w:sz w:val="28"/>
                <w:szCs w:val="28"/>
                <w:lang w:eastAsia="en-US"/>
              </w:rPr>
              <w:lastRenderedPageBreak/>
              <w:t>цьому першим роком, за який визначається мінімальне податкове зобов’язання, є 2022 рік</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170.14.7. Контролюючі органи за місцем податкової адреси платників податку в 10-</w:t>
            </w:r>
            <w:r w:rsidRPr="0020280B">
              <w:rPr>
                <w:rFonts w:ascii="Times New Roman" w:hAnsi="Times New Roman" w:cs="Times New Roman"/>
                <w:sz w:val="26"/>
                <w:szCs w:val="26"/>
                <w:lang w:eastAsia="en-US"/>
              </w:rPr>
              <w:lastRenderedPageBreak/>
              <w:t>денний строк інформують контролюючі органи за місцезнаходженням відповідних земельних ділянок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lastRenderedPageBreak/>
              <w:t xml:space="preserve">Набирає чинності з 1 січня 2022 року, при </w:t>
            </w:r>
            <w:r w:rsidRPr="0020280B">
              <w:rPr>
                <w:rFonts w:ascii="Times New Roman" w:hAnsi="Times New Roman" w:cs="Times New Roman"/>
                <w:sz w:val="28"/>
                <w:szCs w:val="28"/>
                <w:lang w:eastAsia="en-US"/>
              </w:rPr>
              <w:lastRenderedPageBreak/>
              <w:t>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32"/>
                <w:szCs w:val="32"/>
                <w:lang w:eastAsia="en-US"/>
              </w:rPr>
            </w:pPr>
            <w:r w:rsidRPr="0020280B">
              <w:rPr>
                <w:rFonts w:ascii="Times New Roman" w:hAnsi="Times New Roman" w:cs="Times New Roman"/>
                <w:b/>
                <w:sz w:val="32"/>
                <w:szCs w:val="32"/>
                <w:lang w:eastAsia="en-US"/>
              </w:rPr>
              <w:lastRenderedPageBreak/>
              <w:t>Особливості визначення загального мінімального податкового зобов’язання фізичних осіб – підприємців загальної системи оподаткування</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Фізичні особи – підприємці загальної системи оподаткування зобов’язані подавати у складі річної податкової декларації додаток з розрахунком загального мінімального податкового зобов’язання</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177.14. Зареєстровані підприємцями фізичні особи </w:t>
            </w:r>
            <w:r w:rsidRPr="0020280B">
              <w:rPr>
                <w:rFonts w:ascii="Times New Roman" w:hAnsi="Times New Roman" w:cs="Times New Roman"/>
                <w:spacing w:val="-2"/>
                <w:sz w:val="26"/>
                <w:szCs w:val="26"/>
                <w:lang w:eastAsia="en-US"/>
              </w:rPr>
              <w:sym w:font="Symbol" w:char="F02D"/>
            </w:r>
            <w:r w:rsidRPr="0020280B">
              <w:rPr>
                <w:rFonts w:ascii="Times New Roman" w:hAnsi="Times New Roman" w:cs="Times New Roman"/>
                <w:sz w:val="26"/>
                <w:szCs w:val="26"/>
                <w:lang w:eastAsia="en-US"/>
              </w:rPr>
              <w:t xml:space="preserve"> власники, орендарі, користувачі на інших умовах (в тому числі на умовах емфітевзису) земельних ділянок, віднесених до сільськогосподарських угідь, які здійснюють виробництво власної сільськогосподарської продукції,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у складі річної податкової декларації додаток з розрахунком загального мінімального податкового зобов’язання.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такому додатку, зокрема, зазначаються: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кадастрові номери земельних ділянок, які використовуються таким підприємцем для здійснення підприємницької діяльності та для яких визначається мінімальне податкове зобов’язання, їх нормативна грошова оцінка та площа;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сума загального мінімального податкового зобов’язання, сума мінімального податкового зобов’язання щодо кожної земельної ділянки окремо;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загальна сума сплачених платником податку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та визначених відповідно до пункту 177.15 цієї статті витрат на оренду земельних ділянок (далі у цьому пункті </w:t>
            </w:r>
            <w:r w:rsidRPr="0020280B">
              <w:rPr>
                <w:rFonts w:ascii="Times New Roman" w:hAnsi="Times New Roman" w:cs="Times New Roman"/>
                <w:spacing w:val="-2"/>
                <w:sz w:val="26"/>
                <w:szCs w:val="26"/>
                <w:lang w:eastAsia="en-US"/>
              </w:rPr>
              <w:sym w:font="Symbol" w:char="F02D"/>
            </w:r>
            <w:r w:rsidRPr="0020280B">
              <w:rPr>
                <w:rFonts w:ascii="Times New Roman" w:hAnsi="Times New Roman" w:cs="Times New Roman"/>
                <w:sz w:val="26"/>
                <w:szCs w:val="26"/>
                <w:lang w:eastAsia="en-US"/>
              </w:rPr>
              <w:t xml:space="preserve"> загальна сума сплачених податків, зборів, платежів та витрат на оренду земельних ділянок) протягом податкового (звітного) року;</w:t>
            </w:r>
          </w:p>
          <w:p w:rsidR="004D6A2D" w:rsidRPr="0020280B" w:rsidRDefault="004D6A2D" w:rsidP="0020280B">
            <w:pPr>
              <w:spacing w:after="0" w:line="240" w:lineRule="auto"/>
              <w:ind w:firstLine="284"/>
              <w:rPr>
                <w:rFonts w:ascii="Times New Roman" w:hAnsi="Times New Roman" w:cs="Times New Roman"/>
                <w:sz w:val="26"/>
                <w:szCs w:val="26"/>
                <w:lang w:eastAsia="en-US"/>
              </w:rPr>
            </w:pPr>
            <w:r w:rsidRPr="0020280B">
              <w:rPr>
                <w:rFonts w:ascii="Times New Roman" w:hAnsi="Times New Roman" w:cs="Times New Roman"/>
                <w:sz w:val="26"/>
                <w:szCs w:val="26"/>
                <w:lang w:eastAsia="en-US"/>
              </w:rPr>
              <w:t>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 xml:space="preserve">Як обчислюється різниця між сумою загального мінімального податкового зобов’язання та загальною сумою </w:t>
            </w:r>
            <w:r w:rsidRPr="0020280B">
              <w:rPr>
                <w:rFonts w:ascii="Times New Roman" w:hAnsi="Times New Roman" w:cs="Times New Roman"/>
                <w:b/>
                <w:sz w:val="28"/>
                <w:szCs w:val="28"/>
                <w:lang w:eastAsia="en-US"/>
              </w:rPr>
              <w:lastRenderedPageBreak/>
              <w:t>сплачених податків, зборів, платежів та витрат на оренду земельних ділянок</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 xml:space="preserve">177.15.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До суми сплачених податків, зборів, платежів та витрат на оренду земельних ділянок відносяться: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чистого оподаткованого доходу від реалізації власної сільськогосподарської продукції;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які перебувають з платником податку у трудових або цивільно-правових відносинах (крім доходів, які сплачені за придбання товарів у фізичних осіб), з доходів за договорами оренди, суборенди, емфітевзису земельних ділянок сільськогосподарського призначення;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(у разі переходу у податковому (звітному) році із спрощеної системи оподаткування на загальну);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земельний податок за земельні ділянки, віднесені до сільськогосподарських угідь,  які використовуються у підприємницькій діяльності;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рентна плата за спеціальне використання води;</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tc>
        <w:tc>
          <w:tcPr>
            <w:tcW w:w="5637" w:type="dxa"/>
          </w:tcPr>
          <w:p w:rsidR="004D6A2D" w:rsidRPr="0020280B" w:rsidRDefault="004D6A2D" w:rsidP="0020280B">
            <w:pPr>
              <w:spacing w:after="0" w:line="240" w:lineRule="auto"/>
              <w:rPr>
                <w:rFonts w:ascii="Times New Roman" w:hAnsi="Times New Roman" w:cs="Times New Roman"/>
                <w:sz w:val="28"/>
                <w:szCs w:val="28"/>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rPr>
                <w:rFonts w:ascii="Times New Roman" w:hAnsi="Times New Roman" w:cs="Times New Roman"/>
                <w:sz w:val="28"/>
                <w:szCs w:val="28"/>
                <w:lang w:eastAsia="en-US"/>
              </w:rPr>
            </w:pPr>
          </w:p>
          <w:p w:rsidR="004D6A2D" w:rsidRPr="0020280B" w:rsidRDefault="004D6A2D" w:rsidP="0020280B">
            <w:pPr>
              <w:spacing w:after="120" w:line="240" w:lineRule="auto"/>
              <w:jc w:val="both"/>
              <w:rPr>
                <w:rFonts w:ascii="Times New Roman" w:hAnsi="Times New Roman" w:cs="Times New Roman"/>
                <w:sz w:val="28"/>
                <w:szCs w:val="28"/>
                <w:highlight w:val="yellow"/>
                <w:lang w:eastAsia="en-US"/>
              </w:rPr>
            </w:pPr>
            <w:r w:rsidRPr="0020280B">
              <w:rPr>
                <w:rFonts w:ascii="Times New Roman" w:hAnsi="Times New Roman" w:cs="Times New Roman"/>
                <w:sz w:val="28"/>
                <w:szCs w:val="28"/>
                <w:lang w:eastAsia="en-US"/>
              </w:rPr>
              <w:t>-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2022 рік до загальної суми сплачених податків, зборів, платежів та витрат на оренду земельних ділянок, визначених підпунктами 141.9.2, 141.9.3 пункту 141.9 статті 141, пункту 177.15 статті 177, пунктів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.2,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.3,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.4,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.5 статті</w:t>
            </w:r>
            <w:r w:rsidRPr="0020280B">
              <w:rPr>
                <w:rFonts w:ascii="Times New Roman" w:hAnsi="Times New Roman" w:cs="Times New Roman"/>
                <w:sz w:val="28"/>
                <w:szCs w:val="28"/>
                <w:lang w:val="en-US" w:eastAsia="en-US"/>
              </w:rPr>
              <w:t> </w:t>
            </w:r>
            <w:r w:rsidRPr="0020280B">
              <w:rPr>
                <w:rFonts w:ascii="Times New Roman" w:hAnsi="Times New Roman" w:cs="Times New Roman"/>
                <w:sz w:val="28"/>
                <w:szCs w:val="28"/>
                <w:lang w:eastAsia="en-US"/>
              </w:rPr>
              <w:t>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включаються суми податків, зборів, платежів, сплачених у 2021 році в рахунок податкових зобов’язань з цих податків, зборів, платежів 2022 року</w:t>
            </w:r>
          </w:p>
          <w:p w:rsidR="004D6A2D" w:rsidRPr="0020280B" w:rsidRDefault="004D6A2D" w:rsidP="0020280B">
            <w:pPr>
              <w:spacing w:after="0" w:line="240" w:lineRule="auto"/>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Використання земельної ділянки на праві емфітевзису</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177.16. У разі використання земельної ділянки на праві емфітевзису податок на доходи фізичних осіб та військовий збір, сплачені під час здійснення виплат за таким договором емфітевзису, щорічно враховується у частці, розрахованій пропорційно до річної суми нарахованої амортизації на нематеріальний актив у вигляді права користування земельною ділянкою за договором емфітевзису. </w:t>
            </w:r>
          </w:p>
          <w:p w:rsidR="004D6A2D" w:rsidRPr="0020280B" w:rsidRDefault="004D6A2D" w:rsidP="0020280B">
            <w:pPr>
              <w:spacing w:after="0" w:line="240" w:lineRule="auto"/>
              <w:ind w:firstLine="284"/>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 xml:space="preserve">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збільшує суму  податку на доходи </w:t>
            </w:r>
            <w:r w:rsidRPr="0020280B">
              <w:rPr>
                <w:rFonts w:ascii="Times New Roman" w:hAnsi="Times New Roman" w:cs="Times New Roman"/>
                <w:b/>
                <w:sz w:val="28"/>
                <w:szCs w:val="28"/>
                <w:lang w:eastAsia="en-US"/>
              </w:rPr>
              <w:lastRenderedPageBreak/>
              <w:t>фізичних осіб, що підлягає сплаті до бюджету</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 xml:space="preserve">177.17. При позитивному значенні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 податку зобов’язаний збільшити визначену в річній податковій декларації суму податку на доходи фізичних осіб, що підлягає сплаті до бюджету, на суму такого позитивного значення та сплатити таку збільшену суму податку до бюджету в порядку та строки, визначені цим Кодексом для сплати податку на доходи фізичних осіб.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є частиною зобов’язань з податку на доходи фізичних осіб.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Позитивне значення різниці підлягає сплаті до бюджету в порядку та строки, визначені Кодексом для сплати податку на доходи фізичних осіб</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177.18.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підлягає сплаті до бюджету в порядку та строки, визначені цим Кодексом для сплати податку на доходи фізичних осіб</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До якого бюджету сплачується сума податку на доходи фізичних осіб в частині позитивного значення різниці</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177.19. Сума податку на доходи фізичних осіб в частині позитивного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сплачується (перераховується) до місцевих бюджетів за місцезнаходженням земельних ділянок пропорційно до питомої ваги площі кожної із земельних ділянок, віднесених до сільськогосподарських угідь. </w:t>
            </w:r>
          </w:p>
          <w:p w:rsidR="004D6A2D" w:rsidRPr="0020280B" w:rsidRDefault="004D6A2D" w:rsidP="0020280B">
            <w:pPr>
              <w:spacing w:after="0" w:line="240" w:lineRule="auto"/>
              <w:ind w:firstLine="284"/>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Сума податку на доходи фізичних осіб в частині позитивного значення різниці не враховується у загальній сумі сплачених податків, зборів, платежів та витрат на оренду земельних ділянок у наступному звітному році</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177.20. Сума податку на доходи фізичних осіб у частині позитивного значення такої різниці не враховується у загальній сумі сплачених податків, зборів, платежів та витрат на оренду земельних ділянок у наступному податковому (звітному) році</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sz w:val="28"/>
                <w:szCs w:val="28"/>
                <w:lang w:eastAsia="en-US"/>
              </w:rPr>
            </w:pPr>
            <w:r w:rsidRPr="0020280B">
              <w:rPr>
                <w:rFonts w:ascii="Times New Roman" w:hAnsi="Times New Roman" w:cs="Times New Roman"/>
                <w:b/>
                <w:sz w:val="28"/>
                <w:szCs w:val="28"/>
                <w:lang w:eastAsia="en-US"/>
              </w:rPr>
              <w:t>Розрахунок   загального мінімального податкового зобов’язання надається  платниками податку за наявності таких доходів (витрат)</w:t>
            </w:r>
          </w:p>
        </w:tc>
      </w:tr>
      <w:tr w:rsidR="004D6A2D" w:rsidTr="0020280B">
        <w:tc>
          <w:tcPr>
            <w:tcW w:w="9889" w:type="dxa"/>
          </w:tcPr>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179.9 абзац п’ятий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"розрахунки окремих видів доходів (витрат), загального мінімального податкового зобов’язання мають міститися в додатках до податкової декларації, що заповнюються виключно платниками податку за наявності таких доходів (витрат) або необхідності розрахунку такого загального мінімального податкового зобов’язання</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lastRenderedPageBreak/>
              <w:t xml:space="preserve">Набирає чинності з 1 січня 2022 року, при </w:t>
            </w:r>
            <w:r w:rsidRPr="0020280B">
              <w:rPr>
                <w:rFonts w:ascii="Times New Roman" w:hAnsi="Times New Roman" w:cs="Times New Roman"/>
                <w:sz w:val="28"/>
                <w:szCs w:val="28"/>
                <w:lang w:eastAsia="en-US"/>
              </w:rPr>
              <w:lastRenderedPageBreak/>
              <w:t>цьому першим роком, за який визначається мінімальне податкове зобов’язання, є 2022 рік</w:t>
            </w:r>
          </w:p>
        </w:tc>
      </w:tr>
      <w:tr w:rsidR="004D6A2D" w:rsidTr="0020280B">
        <w:tc>
          <w:tcPr>
            <w:tcW w:w="9889" w:type="dxa"/>
          </w:tcPr>
          <w:p w:rsidR="004D6A2D" w:rsidRPr="0020280B" w:rsidRDefault="004D6A2D" w:rsidP="0020280B">
            <w:pPr>
              <w:spacing w:after="0" w:line="240" w:lineRule="auto"/>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32"/>
                <w:szCs w:val="32"/>
                <w:lang w:eastAsia="en-US"/>
              </w:rPr>
            </w:pPr>
            <w:r w:rsidRPr="0020280B">
              <w:rPr>
                <w:rFonts w:ascii="Times New Roman" w:hAnsi="Times New Roman" w:cs="Times New Roman"/>
                <w:b/>
                <w:sz w:val="32"/>
                <w:szCs w:val="32"/>
                <w:lang w:eastAsia="en-US"/>
              </w:rPr>
              <w:t>Особливості визначення загального мінімального податкового зобов’язання платників єдиного податку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Розрахунок  загального мінімального податкового зобов’язання надається платниками єдиного податку у складі податкової декларації за податковий (звітний) рік</w:t>
            </w:r>
          </w:p>
        </w:tc>
      </w:tr>
      <w:tr w:rsidR="004D6A2D" w:rsidTr="0020280B">
        <w:tc>
          <w:tcPr>
            <w:tcW w:w="9889" w:type="dxa"/>
          </w:tcPr>
          <w:p w:rsidR="004D6A2D" w:rsidRPr="0020280B" w:rsidRDefault="004D6A2D" w:rsidP="0020280B">
            <w:pPr>
              <w:spacing w:after="0" w:line="240" w:lineRule="auto"/>
              <w:ind w:firstLine="284"/>
              <w:rPr>
                <w:rFonts w:ascii="Times New Roman" w:hAnsi="Times New Roman" w:cs="Times New Roman"/>
                <w:sz w:val="26"/>
                <w:szCs w:val="26"/>
                <w:lang w:eastAsia="en-US"/>
              </w:rPr>
            </w:pPr>
            <w:r w:rsidRPr="0020280B">
              <w:rPr>
                <w:rFonts w:ascii="Times New Roman" w:hAnsi="Times New Roman" w:cs="Times New Roman"/>
                <w:sz w:val="26"/>
                <w:szCs w:val="26"/>
                <w:lang w:eastAsia="en-US"/>
              </w:rPr>
              <w:t>"Стаття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 Особливості визначення загального мінімального податкового зобов’язання платників єдиного податку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.1. Платники єдиного податку </w:t>
            </w:r>
            <w:r w:rsidRPr="0020280B">
              <w:rPr>
                <w:rFonts w:ascii="Times New Roman" w:hAnsi="Times New Roman" w:cs="Times New Roman"/>
                <w:sz w:val="26"/>
                <w:szCs w:val="26"/>
                <w:lang w:val="en-US" w:eastAsia="en-US"/>
              </w:rPr>
              <w:sym w:font="Symbol" w:char="F02D"/>
            </w:r>
            <w:r w:rsidRPr="0020280B">
              <w:rPr>
                <w:rFonts w:ascii="Times New Roman" w:hAnsi="Times New Roman" w:cs="Times New Roman"/>
                <w:sz w:val="26"/>
                <w:szCs w:val="26"/>
                <w:lang w:eastAsia="en-US"/>
              </w:rPr>
              <w:t xml:space="preserve">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рік.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У такому додатку, зокрема, зазначаються:</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кадастрові номери земельних ділянок, які використовуються такими платниками для здійснення підприємницької діяльності, та для яких визначається мінімальне податкове зобов’язання, їх нормативна грошова оцінка та площа таких земельних ділянок;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сума загального мінімального податкового зобов’язання, сума мінімального податкового зобов’язання щодо кожної земельної ділянки;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загальна сума сплачених платником єдиного податку податків, зборів, платежів, контроль за справлянням яких покладено на контролюючі органи,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та визначених відповідно до пунктів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.2,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.3,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.4 або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.5 статті 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 витрат на оренду земельних ділянок (далі у цій статті – загальна сума сплачених податків, зборів, платежів та витрат на оренду земельних ділянок) протягом податкового (звітного) року; </w:t>
            </w:r>
          </w:p>
          <w:p w:rsidR="004D6A2D" w:rsidRPr="0020280B" w:rsidRDefault="004D6A2D" w:rsidP="0020280B">
            <w:pPr>
              <w:spacing w:after="0" w:line="240" w:lineRule="auto"/>
              <w:ind w:firstLine="284"/>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Як обчислюється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другої групи</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.2. Для фізичної особи – платника єдиного податку другої групи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До суми сплачених податків, зборів, платежів та витрат на оренду земельних ділянок відносяться: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податок на доходи фізичних осіб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які перебувають з платником єдиного податку другої групи у трудових або цивільно-правових відносинах (крім доходів, сплачених за придбання товарів у фізичних осіб);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за договорами оренди, суборенди, емфітевзису земельних ділянок, віднесених до сільськогосподарських угідь, за податковий (звітний) рік;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рентна плата за спеціальне використання води (у разі її сплати);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tc>
        <w:tc>
          <w:tcPr>
            <w:tcW w:w="5637" w:type="dxa"/>
          </w:tcPr>
          <w:p w:rsidR="004D6A2D" w:rsidRPr="0020280B" w:rsidRDefault="004D6A2D" w:rsidP="0020280B">
            <w:pPr>
              <w:spacing w:after="0" w:line="240" w:lineRule="auto"/>
              <w:rPr>
                <w:rFonts w:ascii="Times New Roman" w:hAnsi="Times New Roman" w:cs="Times New Roman"/>
                <w:sz w:val="28"/>
                <w:szCs w:val="28"/>
                <w:lang w:eastAsia="en-US"/>
              </w:rPr>
            </w:pPr>
            <w:r w:rsidRPr="0020280B">
              <w:rPr>
                <w:rFonts w:ascii="Times New Roman" w:hAnsi="Times New Roman" w:cs="Times New Roman"/>
                <w:sz w:val="28"/>
                <w:szCs w:val="28"/>
                <w:lang w:eastAsia="en-US"/>
              </w:rPr>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jc w:val="both"/>
              <w:rPr>
                <w:rFonts w:ascii="Times New Roman" w:hAnsi="Times New Roman" w:cs="Times New Roman"/>
                <w:sz w:val="28"/>
                <w:szCs w:val="28"/>
                <w:lang w:eastAsia="en-US"/>
              </w:rPr>
            </w:pPr>
          </w:p>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2022 рік до загальної суми сплачених податків, зборів, платежів та витрат на оренду земельних ділянок, визначених підпунктами 141.9.2, 141.9.3 пункту 141.9 статті 141, пункту 177.15 статті 177, пунктів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.2,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.3,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.4,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.5 статті</w:t>
            </w:r>
            <w:r w:rsidRPr="0020280B">
              <w:rPr>
                <w:rFonts w:ascii="Times New Roman" w:hAnsi="Times New Roman" w:cs="Times New Roman"/>
                <w:sz w:val="28"/>
                <w:szCs w:val="28"/>
                <w:lang w:val="en-US" w:eastAsia="en-US"/>
              </w:rPr>
              <w:t> </w:t>
            </w:r>
            <w:r w:rsidRPr="0020280B">
              <w:rPr>
                <w:rFonts w:ascii="Times New Roman" w:hAnsi="Times New Roman" w:cs="Times New Roman"/>
                <w:sz w:val="28"/>
                <w:szCs w:val="28"/>
                <w:lang w:eastAsia="en-US"/>
              </w:rPr>
              <w:t>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включаються суми податків, зборів, платежів, сплачених у 2021 році в рахунок податкових зобов’язань з цих податків, зборів, платежів 2022 року.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Як обчислюється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третьої  групи у яких частка сільськогосподарського товаровиробництва за податковий (звітний) рік дорівнює або перевищує 75 відсотків</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.3. Для платників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цього Кодексу, дорівнює або перевищує 75 відсотків,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До суми сплачених податків, зборів, платежів та витрат на оренду земельних ділянок відносяться: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податок на прибуток підприємств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 податок на доходи фізичних осіб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які перебувають з платником податку у трудових або цивільно-правових відносинах (крім доходів, сплачених за придбання товарів у фізичних осіб), з доходів за договорами оренди, суборенди, емфітевзису земельних ділянок сільськогосподарського призначення;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рентна плата за спеціальне використання води (у разі її сплати);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4D6A2D" w:rsidRPr="0020280B" w:rsidRDefault="004D6A2D" w:rsidP="0020280B">
            <w:pPr>
              <w:spacing w:after="0" w:line="240" w:lineRule="auto"/>
              <w:ind w:firstLine="567"/>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p>
          <w:p w:rsidR="004D6A2D" w:rsidRPr="0020280B" w:rsidRDefault="004D6A2D" w:rsidP="0020280B">
            <w:pPr>
              <w:spacing w:after="0" w:line="240" w:lineRule="auto"/>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jc w:val="both"/>
              <w:rPr>
                <w:rFonts w:ascii="Times New Roman" w:hAnsi="Times New Roman" w:cs="Times New Roman"/>
                <w:sz w:val="28"/>
                <w:szCs w:val="28"/>
                <w:lang w:eastAsia="en-US"/>
              </w:rPr>
            </w:pPr>
          </w:p>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2022 рік до загальної суми сплачених податків, зборів, платежів та витрат на оренду земельних ділянок, визначених підпунктами 141.9.2, 141.9.3 пункту 141.9 статті 141, пункту 177.15 статті 177, пунктів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.2,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.3,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.4,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.5 статті</w:t>
            </w:r>
            <w:r w:rsidRPr="0020280B">
              <w:rPr>
                <w:rFonts w:ascii="Times New Roman" w:hAnsi="Times New Roman" w:cs="Times New Roman"/>
                <w:sz w:val="28"/>
                <w:szCs w:val="28"/>
                <w:lang w:val="en-US" w:eastAsia="en-US"/>
              </w:rPr>
              <w:t> </w:t>
            </w:r>
            <w:r w:rsidRPr="0020280B">
              <w:rPr>
                <w:rFonts w:ascii="Times New Roman" w:hAnsi="Times New Roman" w:cs="Times New Roman"/>
                <w:sz w:val="28"/>
                <w:szCs w:val="28"/>
                <w:lang w:eastAsia="en-US"/>
              </w:rPr>
              <w:t>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включаються суми податків, зборів, платежів, сплачених у 2021 році в рахунок податкових зобов’язань з цих податків, зборів, платежів 2022 року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 xml:space="preserve">Як обчислюється різниця між сумою загального мінімального податкового зобов’язання та загальною сумою </w:t>
            </w:r>
            <w:r w:rsidRPr="0020280B">
              <w:rPr>
                <w:rFonts w:ascii="Times New Roman" w:hAnsi="Times New Roman" w:cs="Times New Roman"/>
                <w:b/>
                <w:sz w:val="28"/>
                <w:szCs w:val="28"/>
                <w:lang w:eastAsia="en-US"/>
              </w:rPr>
              <w:lastRenderedPageBreak/>
              <w:t xml:space="preserve">сплачених податків, зборів, платежів та витрат на оренду земельних ділянок. платниками єдиного податку третьої  групи у яких частка сільськогосподарського товаровиробництва за податковий (звітний) рік становить менше </w:t>
            </w:r>
            <w:r w:rsidRPr="0020280B">
              <w:rPr>
                <w:rFonts w:ascii="Times New Roman" w:hAnsi="Times New Roman" w:cs="Times New Roman"/>
                <w:b/>
                <w:sz w:val="28"/>
                <w:szCs w:val="28"/>
                <w:lang w:eastAsia="en-US"/>
              </w:rPr>
              <w:br/>
              <w:t>75 відсотків</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lastRenderedPageBreak/>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.4. Для платника єдиного податку третьої групи (юридичних осіб та фізичних осіб – підприємців), у яких частка сільськогосподарського товаровиробництва за податковий (звітний) рік, розрахована відповідно до підпункту 14.1.262 пункту 14.1 статті 14 цього Кодексу, становить менше </w:t>
            </w:r>
            <w:r w:rsidRPr="0020280B">
              <w:rPr>
                <w:rFonts w:ascii="Times New Roman" w:hAnsi="Times New Roman" w:cs="Times New Roman"/>
                <w:sz w:val="26"/>
                <w:szCs w:val="26"/>
                <w:lang w:eastAsia="en-US"/>
              </w:rPr>
              <w:br/>
              <w:t xml:space="preserve">75 відсотків, різниця між сумою загального мінімального податкового зобов’язання та загальною сумою сплачених податків, зборів, платежів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До суми сплачених податків, зборів, платежів та витрат на оренду земельних ділянок відносяться: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сплачений платником єдиного податку третьої групи у розмірі, пропорційному частці сільськогосподарського товаровиробництва такого платника за податковий (звітний) рік, розрахованій відповідно до підпункту 14.1.262 пункту 14.1 статті 14 цього Кодексу;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сплачений платником єдиного податку другої групи, у разі переходу на третю групу в податковому (звітному) році;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прибуток підприємств у розмірі, пропорційному частці сільськогосподарського товаровиробництва такого платника за звітний період (у разі переходу в податковому (звітному) році на спрощену систему оподаткування із загальної) за податковий (звітний) рік, розрахованій відповідно до підпункту 14.1.262 пункту 14.1 статті 14 цього Кодексу;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які перебувають з платником єдиного податку третьої групи у трудових або цивільно-правових відносинах (крім доходів, сплачених за придбання товарів у фізичних осіб), у розмірі, пропорційному частці сільськогосподарського товаровиробництва такого платника за податковий (звітний) рік, розрахованій відповідно до підпункту 14.1.262 пункту 14.1 </w:t>
            </w:r>
            <w:r w:rsidRPr="0020280B">
              <w:rPr>
                <w:rFonts w:ascii="Times New Roman" w:hAnsi="Times New Roman" w:cs="Times New Roman"/>
                <w:sz w:val="26"/>
                <w:szCs w:val="26"/>
                <w:lang w:eastAsia="en-US"/>
              </w:rPr>
              <w:br/>
            </w:r>
            <w:r w:rsidRPr="0020280B">
              <w:rPr>
                <w:rFonts w:ascii="Times New Roman" w:hAnsi="Times New Roman" w:cs="Times New Roman"/>
                <w:sz w:val="26"/>
                <w:szCs w:val="26"/>
                <w:lang w:eastAsia="en-US"/>
              </w:rPr>
              <w:lastRenderedPageBreak/>
              <w:t xml:space="preserve">статті 14 цього Кодексу;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фізичних осіб за договорами оренди, суборенди, емфітевзису земельних ділянок, віднесених до сільськогосподарських угідь, за податковий (звітний) рік;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рентна плата за спеціальне використання води (у разі її сплати) у розмірі, пропорційному частці сільськогосподарського товаровиробництва такого платника за податковий (звітний) рік, розрахованій відповідно до </w:t>
            </w:r>
            <w:r w:rsidRPr="0020280B">
              <w:rPr>
                <w:rFonts w:ascii="Times New Roman" w:hAnsi="Times New Roman" w:cs="Times New Roman"/>
                <w:sz w:val="26"/>
                <w:szCs w:val="26"/>
                <w:lang w:eastAsia="en-US"/>
              </w:rPr>
              <w:br/>
              <w:t xml:space="preserve">підпункту 14.1.262 пункту 14.1 статті 14 цього Кодексу;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4D6A2D" w:rsidRPr="0020280B" w:rsidRDefault="004D6A2D" w:rsidP="0020280B">
            <w:pPr>
              <w:spacing w:after="0" w:line="240" w:lineRule="auto"/>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lastRenderedPageBreak/>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jc w:val="both"/>
              <w:rPr>
                <w:rFonts w:ascii="Times New Roman" w:hAnsi="Times New Roman" w:cs="Times New Roman"/>
                <w:sz w:val="28"/>
                <w:szCs w:val="28"/>
                <w:lang w:eastAsia="en-US"/>
              </w:rPr>
            </w:pPr>
          </w:p>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2022 рік до загальної суми сплачених податків, зборів, платежів та витрат на оренду земельних ділянок, визначених підпунктами 141.9.2, 141.9.3 пункту 141.9 статті 141, пункту 177.15 статті 177, пунктів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.2,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.3,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.4,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.5 статті</w:t>
            </w:r>
            <w:r w:rsidRPr="0020280B">
              <w:rPr>
                <w:rFonts w:ascii="Times New Roman" w:hAnsi="Times New Roman" w:cs="Times New Roman"/>
                <w:sz w:val="28"/>
                <w:szCs w:val="28"/>
                <w:lang w:val="en-US" w:eastAsia="en-US"/>
              </w:rPr>
              <w:t> </w:t>
            </w:r>
            <w:r w:rsidRPr="0020280B">
              <w:rPr>
                <w:rFonts w:ascii="Times New Roman" w:hAnsi="Times New Roman" w:cs="Times New Roman"/>
                <w:sz w:val="28"/>
                <w:szCs w:val="28"/>
                <w:lang w:eastAsia="en-US"/>
              </w:rPr>
              <w:t>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включаються суми податків, зборів, платежів, сплачених у 2021 році в рахунок податкових зобов’язань з цих податків, зборів, платежів 2022 року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Як обчислюється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платниками єдиного податку податку четвертої групи , які провадять діяльність виключно в межах фермерського господарства, зареєстрованого відповідно до Закону України "Про фермерське господарство"</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.5. Для платників єдиного податку четвертої групи (юридичних осіб та фізичних осіб – підприємців, які провадять діяльність виключно в межах фермерського господарства, зареєстрованого відповідно до Закону України "Про фермерське господарство") різниця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обчислюється шляхом віднімання від загального мінімального податкового зобов’язання загальної суми сплачених протягом податкового (звітного) року податків, зборів, платежів та витрат на оренду земельних ділянок.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До суми сплачених податків, зборів, платежів та витрат на оренду земельних ділянок відносяться: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єдиний податок; податок на прибуток підприємств (у разі переходу в </w:t>
            </w:r>
            <w:r w:rsidRPr="0020280B">
              <w:rPr>
                <w:rFonts w:ascii="Times New Roman" w:hAnsi="Times New Roman" w:cs="Times New Roman"/>
                <w:sz w:val="26"/>
                <w:szCs w:val="26"/>
                <w:lang w:eastAsia="en-US"/>
              </w:rPr>
              <w:lastRenderedPageBreak/>
              <w:t>податковому (звітному) році на спрощену систему оподаткування із загальної);</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податок на доходи фізичних осіб та військовий збір з доходів (чистого оподаткованого доходу) від продажу (реалізації) власної сільськогосподарської продукції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податок на доходи фізичних осіб та військовий збір з доходів фізичних осіб, які перебувають з платником податку у трудових або цивільно-правових відносинах (крім доходів, сплачених за придбання товарів у фізичних осіб), з доходів за договорами оренди, суборенди, емфітевзису земельних ділянок сільськогосподарського призначення;</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земельний податок за земельні ділянки, віднесені до сільськогосподарських угідь, які використовуються такими платниками для здійснення підприємницької діяльності (у разі переходу в податковому (звітному) році на спрощену систему оподаткування із загальної);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рентна плата за спеціальне використання води (у разі її сплати);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20 відсотків витрат на сплату орендної плати за віднесені до сільськогосподарських угідь земельні ділянки, орендодавцями яких є юридичні особи, та/або які перебувають у державній чи комунальній власності.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У сумі сплачених податків, зборів, платежів та витрат на оренду земельних ділянок не враховуються помилково та/або надміру сплачені у податковому (звітному) році суми податків, зборів, платежів. </w:t>
            </w:r>
          </w:p>
          <w:p w:rsidR="004D6A2D" w:rsidRPr="0020280B" w:rsidRDefault="004D6A2D" w:rsidP="0020280B">
            <w:pPr>
              <w:spacing w:after="0" w:line="240" w:lineRule="auto"/>
              <w:ind w:firstLine="567"/>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jc w:val="both"/>
              <w:rPr>
                <w:rFonts w:ascii="Times New Roman" w:hAnsi="Times New Roman" w:cs="Times New Roman"/>
                <w:sz w:val="28"/>
                <w:szCs w:val="28"/>
                <w:lang w:eastAsia="en-US"/>
              </w:rPr>
            </w:pPr>
            <w:r w:rsidRPr="0020280B">
              <w:rPr>
                <w:rFonts w:ascii="Times New Roman" w:hAnsi="Times New Roman" w:cs="Times New Roman"/>
                <w:sz w:val="28"/>
                <w:szCs w:val="28"/>
                <w:lang w:eastAsia="en-US"/>
              </w:rPr>
              <w:lastRenderedPageBreak/>
              <w:t>- Набирає чинності з 1 січня 2022 року, при цьому першим роком, за який визначається мінімальне податкове зобов’язання, є 2022 рік</w:t>
            </w:r>
          </w:p>
          <w:p w:rsidR="004D6A2D" w:rsidRPr="0020280B" w:rsidRDefault="004D6A2D" w:rsidP="0020280B">
            <w:pPr>
              <w:spacing w:after="0" w:line="240" w:lineRule="auto"/>
              <w:jc w:val="both"/>
              <w:rPr>
                <w:rFonts w:ascii="Times New Roman" w:hAnsi="Times New Roman" w:cs="Times New Roman"/>
                <w:sz w:val="28"/>
                <w:szCs w:val="28"/>
                <w:lang w:eastAsia="en-US"/>
              </w:rPr>
            </w:pPr>
          </w:p>
          <w:p w:rsidR="004D6A2D" w:rsidRPr="0020280B" w:rsidRDefault="004D6A2D" w:rsidP="0020280B">
            <w:pPr>
              <w:spacing w:after="0" w:line="240" w:lineRule="auto"/>
              <w:jc w:val="both"/>
              <w:rPr>
                <w:rFonts w:ascii="Cambria" w:hAnsi="Cambria" w:cs="Times New Roman"/>
                <w:lang w:eastAsia="en-US"/>
              </w:rPr>
            </w:pPr>
            <w:r w:rsidRPr="0020280B">
              <w:rPr>
                <w:rFonts w:ascii="Times New Roman" w:hAnsi="Times New Roman" w:cs="Times New Roman"/>
                <w:sz w:val="28"/>
                <w:szCs w:val="28"/>
                <w:lang w:eastAsia="en-US"/>
              </w:rPr>
              <w:t xml:space="preserve">- При обчисленні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за 2022 рік до загальної суми сплачених податків, зборів, </w:t>
            </w:r>
            <w:r w:rsidRPr="0020280B">
              <w:rPr>
                <w:rFonts w:ascii="Times New Roman" w:hAnsi="Times New Roman" w:cs="Times New Roman"/>
                <w:sz w:val="28"/>
                <w:szCs w:val="28"/>
                <w:lang w:eastAsia="en-US"/>
              </w:rPr>
              <w:lastRenderedPageBreak/>
              <w:t>платежів та витрат на оренду земельних ділянок, визначених підпунктами 141.9.2, 141.9.3 пункту 141.9 статті 141, пункту 177.15 статті 177, пунктів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.2,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.3,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.4, 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.5 статті</w:t>
            </w:r>
            <w:r w:rsidRPr="0020280B">
              <w:rPr>
                <w:rFonts w:ascii="Times New Roman" w:hAnsi="Times New Roman" w:cs="Times New Roman"/>
                <w:sz w:val="28"/>
                <w:szCs w:val="28"/>
                <w:lang w:val="en-US" w:eastAsia="en-US"/>
              </w:rPr>
              <w:t> </w:t>
            </w:r>
            <w:r w:rsidRPr="0020280B">
              <w:rPr>
                <w:rFonts w:ascii="Times New Roman" w:hAnsi="Times New Roman" w:cs="Times New Roman"/>
                <w:sz w:val="28"/>
                <w:szCs w:val="28"/>
                <w:lang w:eastAsia="en-US"/>
              </w:rPr>
              <w:t>297</w:t>
            </w:r>
            <w:r w:rsidRPr="0020280B">
              <w:rPr>
                <w:rFonts w:ascii="Times New Roman" w:hAnsi="Times New Roman" w:cs="Times New Roman"/>
                <w:sz w:val="28"/>
                <w:szCs w:val="28"/>
                <w:vertAlign w:val="superscript"/>
                <w:lang w:eastAsia="en-US"/>
              </w:rPr>
              <w:t>1</w:t>
            </w:r>
            <w:r w:rsidRPr="0020280B">
              <w:rPr>
                <w:rFonts w:ascii="Times New Roman" w:hAnsi="Times New Roman" w:cs="Times New Roman"/>
                <w:sz w:val="28"/>
                <w:szCs w:val="28"/>
                <w:lang w:eastAsia="en-US"/>
              </w:rPr>
              <w:t xml:space="preserve"> цього Кодексу, включаються суми податків, зборів, платежів, сплачених у 2021 році в рахунок податкових зобов’язань з цих податків, зборів, платежів 2022 року.</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Використання земельної ділянки на праві емфітевзису</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.6. У разі використання земельної ділянки на праві емфітевзису податок на доходи фізичних осіб та військовий збір, сплачені під час здійснення виплат за таким договором емфітевзису, щорічно враховуються у частці, розрахованій пропорційно до річної суми нарахованої амортизації на нематеріальний актив у вигляді права користування земельною ділянкою за договором емфітевзису. </w:t>
            </w: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t>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збільшує суму єдиного податку, що підлягає сплаті до бюджету</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.7. При позитивному значенні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 єдиного податку другої або третьої групи зобов’язаний збільшити визначену в податковій декларації за податковий </w:t>
            </w:r>
            <w:r w:rsidRPr="0020280B">
              <w:rPr>
                <w:rFonts w:ascii="Times New Roman" w:hAnsi="Times New Roman" w:cs="Times New Roman"/>
                <w:sz w:val="26"/>
                <w:szCs w:val="26"/>
                <w:lang w:eastAsia="en-US"/>
              </w:rPr>
              <w:lastRenderedPageBreak/>
              <w:t xml:space="preserve">(звітний) рік суму єдиного податку, що підлягає сплаті до бюджету, на суму такого позитивного значення.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 При позитивному значенні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платник єдиного податку четвертої групи зобов’язаний збільшити визначену в податковій декларації за наступний за звітним податковий (звітний) рік суму єдиного податку, що підлягає сплаті до бюджету, на суму такого позитивного значення.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 Для платників єдиного податку четвертої групи сума такого збільшення розподіляється між відповідними місцевими бюджетами та перераховується пропорційно частці земельних ділянок сільськогосподарського призначення, розташованих на території відповідної територіальної громади, у загальній площі таких земельних ділянок, власником або користувачем яких є платник податку. </w:t>
            </w:r>
          </w:p>
        </w:tc>
        <w:tc>
          <w:tcPr>
            <w:tcW w:w="5637" w:type="dxa"/>
          </w:tcPr>
          <w:p w:rsidR="004D6A2D" w:rsidRPr="0020280B" w:rsidRDefault="004D6A2D" w:rsidP="0020280B">
            <w:pPr>
              <w:spacing w:after="0" w:line="240" w:lineRule="auto"/>
              <w:rPr>
                <w:rFonts w:ascii="Cambria" w:hAnsi="Cambria" w:cs="Times New Roman"/>
                <w:lang w:eastAsia="en-US"/>
              </w:rPr>
            </w:pPr>
          </w:p>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 xml:space="preserve">Набирає чинності з 1 січня 2022 року, при цьому першим роком, за який визначається мінімальне податкове зобов’язання, є 2022 </w:t>
            </w:r>
            <w:r w:rsidRPr="0020280B">
              <w:rPr>
                <w:rFonts w:ascii="Times New Roman" w:hAnsi="Times New Roman" w:cs="Times New Roman"/>
                <w:sz w:val="28"/>
                <w:szCs w:val="28"/>
                <w:lang w:eastAsia="en-US"/>
              </w:rPr>
              <w:lastRenderedPageBreak/>
              <w:t>рік</w:t>
            </w:r>
          </w:p>
          <w:p w:rsidR="004D6A2D" w:rsidRPr="0020280B" w:rsidRDefault="004D6A2D" w:rsidP="0020280B">
            <w:pPr>
              <w:spacing w:after="0" w:line="240" w:lineRule="auto"/>
              <w:ind w:firstLine="720"/>
              <w:rPr>
                <w:rFonts w:ascii="Cambria" w:hAnsi="Cambria" w:cs="Times New Roman"/>
                <w:lang w:eastAsia="en-US"/>
              </w:rPr>
            </w:pPr>
          </w:p>
        </w:tc>
      </w:tr>
      <w:tr w:rsidR="004D6A2D" w:rsidTr="0020280B">
        <w:tc>
          <w:tcPr>
            <w:tcW w:w="15526" w:type="dxa"/>
            <w:gridSpan w:val="2"/>
          </w:tcPr>
          <w:p w:rsidR="004D6A2D" w:rsidRPr="0020280B" w:rsidRDefault="004D6A2D" w:rsidP="0020280B">
            <w:pPr>
              <w:spacing w:after="0" w:line="240" w:lineRule="auto"/>
              <w:jc w:val="center"/>
              <w:rPr>
                <w:rFonts w:ascii="Cambria" w:hAnsi="Cambria" w:cs="Times New Roman"/>
                <w:sz w:val="28"/>
                <w:szCs w:val="28"/>
                <w:lang w:eastAsia="en-US"/>
              </w:rPr>
            </w:pPr>
            <w:r w:rsidRPr="0020280B">
              <w:rPr>
                <w:rFonts w:ascii="Times New Roman" w:hAnsi="Times New Roman" w:cs="Times New Roman"/>
                <w:b/>
                <w:sz w:val="28"/>
                <w:szCs w:val="28"/>
                <w:lang w:eastAsia="en-US"/>
              </w:rPr>
              <w:lastRenderedPageBreak/>
              <w:t>Сума єдиного податку в частині позитивного значення різниці не враховується у загальній сумі сплачених податків, зборів, платежів та витрат на оренду земельних ділянок у наступному звітному році</w:t>
            </w:r>
          </w:p>
        </w:tc>
      </w:tr>
      <w:tr w:rsidR="004D6A2D" w:rsidTr="0020280B">
        <w:tc>
          <w:tcPr>
            <w:tcW w:w="9889" w:type="dxa"/>
          </w:tcPr>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297</w:t>
            </w:r>
            <w:r w:rsidRPr="0020280B">
              <w:rPr>
                <w:rFonts w:ascii="Times New Roman" w:hAnsi="Times New Roman" w:cs="Times New Roman"/>
                <w:sz w:val="26"/>
                <w:szCs w:val="26"/>
                <w:vertAlign w:val="superscript"/>
                <w:lang w:eastAsia="en-US"/>
              </w:rPr>
              <w:t>1</w:t>
            </w:r>
            <w:r w:rsidRPr="0020280B">
              <w:rPr>
                <w:rFonts w:ascii="Times New Roman" w:hAnsi="Times New Roman" w:cs="Times New Roman"/>
                <w:sz w:val="26"/>
                <w:szCs w:val="26"/>
                <w:lang w:eastAsia="en-US"/>
              </w:rPr>
              <w:t xml:space="preserve">.8. Сума єдиного податку в частині позитивного значення такої різниці не враховується у загальній сумі сплачених податків, зборів, платежів та витрат на оренду земельних ділянок у наступному податковому (звітному) році. </w:t>
            </w:r>
          </w:p>
          <w:p w:rsidR="004D6A2D" w:rsidRPr="0020280B" w:rsidRDefault="004D6A2D" w:rsidP="0020280B">
            <w:pPr>
              <w:spacing w:after="0" w:line="240" w:lineRule="auto"/>
              <w:ind w:firstLine="567"/>
              <w:jc w:val="both"/>
              <w:rPr>
                <w:rFonts w:ascii="Times New Roman" w:hAnsi="Times New Roman" w:cs="Times New Roman"/>
                <w:sz w:val="26"/>
                <w:szCs w:val="26"/>
                <w:lang w:eastAsia="en-US"/>
              </w:rPr>
            </w:pPr>
            <w:r w:rsidRPr="0020280B">
              <w:rPr>
                <w:rFonts w:ascii="Times New Roman" w:hAnsi="Times New Roman" w:cs="Times New Roman"/>
                <w:sz w:val="26"/>
                <w:szCs w:val="26"/>
                <w:lang w:eastAsia="en-US"/>
              </w:rPr>
              <w:t xml:space="preserve"> Позитивне значення різниці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є частиною зобов’язань з єдиного податку</w:t>
            </w:r>
          </w:p>
          <w:p w:rsidR="004D6A2D" w:rsidRPr="0020280B" w:rsidRDefault="004D6A2D" w:rsidP="0020280B">
            <w:pPr>
              <w:spacing w:after="0" w:line="240" w:lineRule="auto"/>
              <w:ind w:firstLine="567"/>
              <w:rPr>
                <w:rFonts w:ascii="Times New Roman" w:hAnsi="Times New Roman" w:cs="Times New Roman"/>
                <w:sz w:val="26"/>
                <w:szCs w:val="26"/>
                <w:lang w:eastAsia="en-US"/>
              </w:rPr>
            </w:pPr>
          </w:p>
        </w:tc>
        <w:tc>
          <w:tcPr>
            <w:tcW w:w="5637" w:type="dxa"/>
          </w:tcPr>
          <w:p w:rsidR="004D6A2D" w:rsidRPr="0020280B" w:rsidRDefault="004D6A2D" w:rsidP="0020280B">
            <w:pPr>
              <w:spacing w:after="0" w:line="240" w:lineRule="auto"/>
              <w:rPr>
                <w:rFonts w:ascii="Cambria" w:hAnsi="Cambria" w:cs="Times New Roman"/>
                <w:lang w:eastAsia="en-US"/>
              </w:rPr>
            </w:pPr>
            <w:r w:rsidRPr="0020280B">
              <w:rPr>
                <w:rFonts w:ascii="Times New Roman" w:hAnsi="Times New Roman" w:cs="Times New Roman"/>
                <w:sz w:val="28"/>
                <w:szCs w:val="28"/>
                <w:lang w:eastAsia="en-US"/>
              </w:rPr>
              <w:t>Набирає чинності з 1 січня 2022 року, при цьому першим роком, за який визначається мінімальне податкове зобов’язання, є 2022 рік</w:t>
            </w:r>
          </w:p>
        </w:tc>
      </w:tr>
      <w:tr w:rsidR="004D6A2D" w:rsidTr="0020280B">
        <w:tc>
          <w:tcPr>
            <w:tcW w:w="15526" w:type="dxa"/>
            <w:gridSpan w:val="2"/>
          </w:tcPr>
          <w:p w:rsidR="004D6A2D" w:rsidRPr="0020280B" w:rsidRDefault="004D6A2D" w:rsidP="0020280B">
            <w:pPr>
              <w:spacing w:after="0" w:line="240" w:lineRule="auto"/>
              <w:jc w:val="center"/>
              <w:rPr>
                <w:rFonts w:ascii="Times New Roman" w:hAnsi="Times New Roman" w:cs="Times New Roman"/>
                <w:b/>
                <w:sz w:val="32"/>
                <w:szCs w:val="32"/>
                <w:lang w:eastAsia="en-US"/>
              </w:rPr>
            </w:pPr>
            <w:r w:rsidRPr="0020280B">
              <w:rPr>
                <w:rFonts w:ascii="Times New Roman" w:hAnsi="Times New Roman" w:cs="Times New Roman"/>
                <w:b/>
                <w:sz w:val="32"/>
                <w:szCs w:val="32"/>
                <w:lang w:eastAsia="en-US"/>
              </w:rPr>
              <w:t>Застосування штрафних санкцій</w:t>
            </w:r>
          </w:p>
        </w:tc>
      </w:tr>
      <w:tr w:rsidR="004D6A2D" w:rsidTr="0020280B">
        <w:tc>
          <w:tcPr>
            <w:tcW w:w="15526" w:type="dxa"/>
            <w:gridSpan w:val="2"/>
          </w:tcPr>
          <w:p w:rsidR="004D6A2D" w:rsidRPr="0020280B" w:rsidRDefault="004D6A2D" w:rsidP="0020280B">
            <w:pPr>
              <w:spacing w:after="120" w:line="240" w:lineRule="auto"/>
              <w:ind w:firstLine="709"/>
              <w:jc w:val="both"/>
              <w:rPr>
                <w:rFonts w:ascii="Cambria" w:hAnsi="Cambria" w:cs="Times New Roman"/>
                <w:lang w:eastAsia="en-US"/>
              </w:rPr>
            </w:pPr>
            <w:r w:rsidRPr="0020280B">
              <w:rPr>
                <w:rFonts w:ascii="Times New Roman" w:hAnsi="Times New Roman" w:cs="Times New Roman"/>
                <w:sz w:val="28"/>
                <w:szCs w:val="28"/>
                <w:lang w:eastAsia="en-US"/>
              </w:rPr>
              <w:t>Установити, що штрафні санкції, передбачені статтею 123 цього Кодексу, при визначенні податкових зобов’язань платників податків з урахуванням мінімального податкового зобов’язання за 2022 рік, а також штрафні санкції, передбачені статтею 124 цього Кодексу за несвоєчасну сплату узгодженого податкового зобов’язання з податку на доходи фізичних осіб, розрахованого контролюючим органом з урахуванням загального мінімального податкового зобов’язання за 2022 рік, не застосовуються.</w:t>
            </w:r>
          </w:p>
        </w:tc>
      </w:tr>
    </w:tbl>
    <w:p w:rsidR="004D6A2D" w:rsidRPr="00946C36" w:rsidRDefault="004D6A2D" w:rsidP="00A02F0C"/>
    <w:p w:rsidR="004D6A2D" w:rsidRDefault="004D6A2D" w:rsidP="002E6F6A">
      <w:pPr>
        <w:tabs>
          <w:tab w:val="left" w:pos="13203"/>
        </w:tabs>
      </w:pPr>
    </w:p>
    <w:sectPr w:rsidR="004D6A2D" w:rsidSect="00EF7373">
      <w:headerReference w:type="default" r:id="rId8"/>
      <w:footerReference w:type="default" r:id="rId9"/>
      <w:pgSz w:w="16840" w:h="11907" w:orient="landscape"/>
      <w:pgMar w:top="-568" w:right="680" w:bottom="567" w:left="850" w:header="272" w:footer="24" w:gutter="0"/>
      <w:pgNumType w:start="1"/>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2D" w:rsidRDefault="004D6A2D">
      <w:pPr>
        <w:spacing w:after="0" w:line="240" w:lineRule="auto"/>
      </w:pPr>
      <w:r>
        <w:separator/>
      </w:r>
    </w:p>
  </w:endnote>
  <w:endnote w:type="continuationSeparator" w:id="0">
    <w:p w:rsidR="004D6A2D" w:rsidRDefault="004D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Devanagari">
    <w:altName w:val="Cambria"/>
    <w:panose1 w:val="00000000000000000000"/>
    <w:charset w:val="00"/>
    <w:family w:val="roman"/>
    <w:notTrueType/>
    <w:pitch w:val="default"/>
    <w:sig w:usb0="00000003" w:usb1="00000000" w:usb2="00000000" w:usb3="00000000" w:csb0="00000001"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2D" w:rsidRDefault="009B751C">
    <w:pPr>
      <w:pStyle w:val="ae"/>
      <w:jc w:val="center"/>
    </w:pPr>
    <w:r>
      <w:fldChar w:fldCharType="begin"/>
    </w:r>
    <w:r>
      <w:instrText>PAGE   \* MERGEFORMAT</w:instrText>
    </w:r>
    <w:r>
      <w:fldChar w:fldCharType="separate"/>
    </w:r>
    <w:r w:rsidRPr="009B751C">
      <w:rPr>
        <w:noProof/>
        <w:lang w:val="ru-RU"/>
      </w:rPr>
      <w:t>9</w:t>
    </w:r>
    <w:r>
      <w:rPr>
        <w:noProof/>
        <w:lang w:val="ru-RU"/>
      </w:rPr>
      <w:fldChar w:fldCharType="end"/>
    </w:r>
  </w:p>
  <w:p w:rsidR="004D6A2D" w:rsidRDefault="004D6A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2D" w:rsidRDefault="004D6A2D">
      <w:pPr>
        <w:spacing w:after="0" w:line="240" w:lineRule="auto"/>
      </w:pPr>
      <w:r>
        <w:separator/>
      </w:r>
    </w:p>
  </w:footnote>
  <w:footnote w:type="continuationSeparator" w:id="0">
    <w:p w:rsidR="004D6A2D" w:rsidRDefault="004D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2D" w:rsidRDefault="004D6A2D">
    <w:pPr>
      <w:pStyle w:val="ac"/>
    </w:pPr>
  </w:p>
  <w:p w:rsidR="004D6A2D" w:rsidRDefault="004D6A2D">
    <w:pPr>
      <w:pStyle w:val="ac"/>
    </w:pPr>
  </w:p>
  <w:p w:rsidR="004D6A2D" w:rsidRDefault="004D6A2D">
    <w:pPr>
      <w:tabs>
        <w:tab w:val="center" w:pos="4819"/>
        <w:tab w:val="right" w:pos="9639"/>
      </w:tabs>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337"/>
    <w:multiLevelType w:val="multilevel"/>
    <w:tmpl w:val="7798A6CE"/>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abstractNum w:abstractNumId="1">
    <w:nsid w:val="27A945F4"/>
    <w:multiLevelType w:val="hybridMultilevel"/>
    <w:tmpl w:val="DA44E6C8"/>
    <w:lvl w:ilvl="0" w:tplc="AE50D466">
      <w:start w:val="4"/>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6EEE5D7B"/>
    <w:multiLevelType w:val="multilevel"/>
    <w:tmpl w:val="22265928"/>
    <w:lvl w:ilvl="0">
      <w:start w:val="1"/>
      <w:numFmt w:val="bullet"/>
      <w:lvlText w:val="-"/>
      <w:lvlJc w:val="left"/>
      <w:pPr>
        <w:ind w:left="666" w:hanging="360"/>
      </w:pPr>
      <w:rPr>
        <w:rFonts w:ascii="Times New Roman" w:eastAsia="Times New Roman" w:hAnsi="Times New Roman"/>
        <w:b/>
        <w:i w:val="0"/>
        <w:smallCaps w:val="0"/>
        <w:strike w:val="0"/>
        <w:color w:val="000000"/>
        <w:sz w:val="20"/>
        <w:u w:val="none"/>
        <w:vertAlign w:val="baseline"/>
      </w:rPr>
    </w:lvl>
    <w:lvl w:ilvl="1">
      <w:start w:val="1"/>
      <w:numFmt w:val="bullet"/>
      <w:lvlText w:val="○"/>
      <w:lvlJc w:val="left"/>
      <w:pPr>
        <w:ind w:left="1386"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06"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26"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546"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266"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986"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06"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26" w:hanging="360"/>
      </w:pPr>
      <w:rPr>
        <w:rFonts w:ascii="Verdana" w:eastAsia="Times New Roman" w:hAnsi="Verdana"/>
        <w:b w:val="0"/>
        <w:i w:val="0"/>
        <w:smallCaps w:val="0"/>
        <w:strike w:val="0"/>
        <w:color w:val="000000"/>
        <w:sz w:val="20"/>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2"/>
    <w:rsid w:val="000049B3"/>
    <w:rsid w:val="000110B5"/>
    <w:rsid w:val="00011A0C"/>
    <w:rsid w:val="00011C28"/>
    <w:rsid w:val="0001216E"/>
    <w:rsid w:val="00025BD5"/>
    <w:rsid w:val="00026F3B"/>
    <w:rsid w:val="00032A04"/>
    <w:rsid w:val="00033541"/>
    <w:rsid w:val="00036A3A"/>
    <w:rsid w:val="000426CD"/>
    <w:rsid w:val="00051303"/>
    <w:rsid w:val="000520E0"/>
    <w:rsid w:val="00053C44"/>
    <w:rsid w:val="000557B7"/>
    <w:rsid w:val="00056529"/>
    <w:rsid w:val="0006034B"/>
    <w:rsid w:val="0006065E"/>
    <w:rsid w:val="00064015"/>
    <w:rsid w:val="00064560"/>
    <w:rsid w:val="00065C4F"/>
    <w:rsid w:val="00067EB9"/>
    <w:rsid w:val="00086BCD"/>
    <w:rsid w:val="00092616"/>
    <w:rsid w:val="000931D9"/>
    <w:rsid w:val="000A0C1A"/>
    <w:rsid w:val="000A2805"/>
    <w:rsid w:val="000A553F"/>
    <w:rsid w:val="000B0D55"/>
    <w:rsid w:val="000B558E"/>
    <w:rsid w:val="000C287D"/>
    <w:rsid w:val="000F31D3"/>
    <w:rsid w:val="000F5C84"/>
    <w:rsid w:val="0010029D"/>
    <w:rsid w:val="00110E97"/>
    <w:rsid w:val="001129CE"/>
    <w:rsid w:val="001252E9"/>
    <w:rsid w:val="001255FC"/>
    <w:rsid w:val="00127335"/>
    <w:rsid w:val="00136014"/>
    <w:rsid w:val="001407DD"/>
    <w:rsid w:val="00145396"/>
    <w:rsid w:val="001464DD"/>
    <w:rsid w:val="00154A2A"/>
    <w:rsid w:val="001550CF"/>
    <w:rsid w:val="00155A5F"/>
    <w:rsid w:val="001602D1"/>
    <w:rsid w:val="001624A2"/>
    <w:rsid w:val="00170876"/>
    <w:rsid w:val="00170F72"/>
    <w:rsid w:val="00172D33"/>
    <w:rsid w:val="00177BB9"/>
    <w:rsid w:val="00181510"/>
    <w:rsid w:val="001815FD"/>
    <w:rsid w:val="0018212B"/>
    <w:rsid w:val="001853D1"/>
    <w:rsid w:val="00195849"/>
    <w:rsid w:val="001A1E4A"/>
    <w:rsid w:val="001A66E9"/>
    <w:rsid w:val="001B0D40"/>
    <w:rsid w:val="001B11C0"/>
    <w:rsid w:val="001B4174"/>
    <w:rsid w:val="001C3354"/>
    <w:rsid w:val="001D37AF"/>
    <w:rsid w:val="001D7710"/>
    <w:rsid w:val="001E099F"/>
    <w:rsid w:val="001E5D6C"/>
    <w:rsid w:val="001E69C5"/>
    <w:rsid w:val="001E751B"/>
    <w:rsid w:val="001F04C0"/>
    <w:rsid w:val="00201C01"/>
    <w:rsid w:val="0020280B"/>
    <w:rsid w:val="00203BD7"/>
    <w:rsid w:val="002065C8"/>
    <w:rsid w:val="00210545"/>
    <w:rsid w:val="002114D5"/>
    <w:rsid w:val="002122D6"/>
    <w:rsid w:val="002136A4"/>
    <w:rsid w:val="00222990"/>
    <w:rsid w:val="002235B4"/>
    <w:rsid w:val="00224B39"/>
    <w:rsid w:val="0022562D"/>
    <w:rsid w:val="00230A4F"/>
    <w:rsid w:val="00237C82"/>
    <w:rsid w:val="0024006C"/>
    <w:rsid w:val="002414E9"/>
    <w:rsid w:val="0024554F"/>
    <w:rsid w:val="00246B8B"/>
    <w:rsid w:val="00260E3C"/>
    <w:rsid w:val="00272FBE"/>
    <w:rsid w:val="00273199"/>
    <w:rsid w:val="0027324E"/>
    <w:rsid w:val="00273B0B"/>
    <w:rsid w:val="00275035"/>
    <w:rsid w:val="00275BD1"/>
    <w:rsid w:val="00286C7E"/>
    <w:rsid w:val="0028723B"/>
    <w:rsid w:val="00293BA8"/>
    <w:rsid w:val="002A2FDA"/>
    <w:rsid w:val="002A3D4F"/>
    <w:rsid w:val="002B1DCE"/>
    <w:rsid w:val="002B364A"/>
    <w:rsid w:val="002B38A6"/>
    <w:rsid w:val="002B6C04"/>
    <w:rsid w:val="002C4CDB"/>
    <w:rsid w:val="002D0CF5"/>
    <w:rsid w:val="002D3BF3"/>
    <w:rsid w:val="002D3E52"/>
    <w:rsid w:val="002D6CA1"/>
    <w:rsid w:val="002E089E"/>
    <w:rsid w:val="002E4AF5"/>
    <w:rsid w:val="002E6B6A"/>
    <w:rsid w:val="002E6DA0"/>
    <w:rsid w:val="002E6F6A"/>
    <w:rsid w:val="002F16DA"/>
    <w:rsid w:val="00312CDA"/>
    <w:rsid w:val="003132A1"/>
    <w:rsid w:val="003147FA"/>
    <w:rsid w:val="00316C3E"/>
    <w:rsid w:val="00325303"/>
    <w:rsid w:val="00326F82"/>
    <w:rsid w:val="003300EF"/>
    <w:rsid w:val="00351366"/>
    <w:rsid w:val="00356EF9"/>
    <w:rsid w:val="0035732A"/>
    <w:rsid w:val="0036244E"/>
    <w:rsid w:val="00363431"/>
    <w:rsid w:val="00366919"/>
    <w:rsid w:val="00367526"/>
    <w:rsid w:val="00370AF4"/>
    <w:rsid w:val="00375A81"/>
    <w:rsid w:val="00376FD2"/>
    <w:rsid w:val="00381C5F"/>
    <w:rsid w:val="00381D90"/>
    <w:rsid w:val="00392B70"/>
    <w:rsid w:val="0039770D"/>
    <w:rsid w:val="00397D6B"/>
    <w:rsid w:val="003A0F27"/>
    <w:rsid w:val="003A18C3"/>
    <w:rsid w:val="003A1A7C"/>
    <w:rsid w:val="003A24CA"/>
    <w:rsid w:val="003A5E74"/>
    <w:rsid w:val="003B0F0B"/>
    <w:rsid w:val="003B2FE6"/>
    <w:rsid w:val="003B4356"/>
    <w:rsid w:val="003C2FBC"/>
    <w:rsid w:val="003C4486"/>
    <w:rsid w:val="003C4F28"/>
    <w:rsid w:val="003D1AB6"/>
    <w:rsid w:val="003D2C6A"/>
    <w:rsid w:val="003D3736"/>
    <w:rsid w:val="003E3D2D"/>
    <w:rsid w:val="003F302E"/>
    <w:rsid w:val="003F58F4"/>
    <w:rsid w:val="003F6D47"/>
    <w:rsid w:val="00402FC2"/>
    <w:rsid w:val="004057DE"/>
    <w:rsid w:val="00407D27"/>
    <w:rsid w:val="00411716"/>
    <w:rsid w:val="0041247E"/>
    <w:rsid w:val="00412A1E"/>
    <w:rsid w:val="004142C0"/>
    <w:rsid w:val="00414D57"/>
    <w:rsid w:val="00415484"/>
    <w:rsid w:val="00416498"/>
    <w:rsid w:val="00416730"/>
    <w:rsid w:val="004270A3"/>
    <w:rsid w:val="00427F91"/>
    <w:rsid w:val="0043125D"/>
    <w:rsid w:val="00442434"/>
    <w:rsid w:val="00446C5F"/>
    <w:rsid w:val="00447EDB"/>
    <w:rsid w:val="00471D23"/>
    <w:rsid w:val="00484DB6"/>
    <w:rsid w:val="00485E4A"/>
    <w:rsid w:val="004917E9"/>
    <w:rsid w:val="00491FE5"/>
    <w:rsid w:val="004A23F9"/>
    <w:rsid w:val="004A6873"/>
    <w:rsid w:val="004B2F19"/>
    <w:rsid w:val="004B3927"/>
    <w:rsid w:val="004B66C3"/>
    <w:rsid w:val="004C42EA"/>
    <w:rsid w:val="004D089A"/>
    <w:rsid w:val="004D5B39"/>
    <w:rsid w:val="004D6A2D"/>
    <w:rsid w:val="004E1299"/>
    <w:rsid w:val="004E567D"/>
    <w:rsid w:val="004F0C8F"/>
    <w:rsid w:val="004F3B77"/>
    <w:rsid w:val="0050011E"/>
    <w:rsid w:val="00500A98"/>
    <w:rsid w:val="00503345"/>
    <w:rsid w:val="00503DB8"/>
    <w:rsid w:val="005051D7"/>
    <w:rsid w:val="005073A1"/>
    <w:rsid w:val="00511E9C"/>
    <w:rsid w:val="005140C4"/>
    <w:rsid w:val="00514484"/>
    <w:rsid w:val="005153B9"/>
    <w:rsid w:val="00522D82"/>
    <w:rsid w:val="00542647"/>
    <w:rsid w:val="00544B64"/>
    <w:rsid w:val="00545B61"/>
    <w:rsid w:val="00560585"/>
    <w:rsid w:val="0056183B"/>
    <w:rsid w:val="00562765"/>
    <w:rsid w:val="0056335A"/>
    <w:rsid w:val="00563913"/>
    <w:rsid w:val="0056483A"/>
    <w:rsid w:val="00571D2A"/>
    <w:rsid w:val="00574ECE"/>
    <w:rsid w:val="00581DE1"/>
    <w:rsid w:val="00583516"/>
    <w:rsid w:val="005835AD"/>
    <w:rsid w:val="005901AD"/>
    <w:rsid w:val="0059030F"/>
    <w:rsid w:val="00590ADF"/>
    <w:rsid w:val="0059300B"/>
    <w:rsid w:val="005954C3"/>
    <w:rsid w:val="005A2B98"/>
    <w:rsid w:val="005A3873"/>
    <w:rsid w:val="005A7AE5"/>
    <w:rsid w:val="005C591E"/>
    <w:rsid w:val="005C795F"/>
    <w:rsid w:val="005C7967"/>
    <w:rsid w:val="005E0F26"/>
    <w:rsid w:val="005E3582"/>
    <w:rsid w:val="005E4E28"/>
    <w:rsid w:val="005E632D"/>
    <w:rsid w:val="005E6C33"/>
    <w:rsid w:val="005E70E1"/>
    <w:rsid w:val="005F2085"/>
    <w:rsid w:val="005F4BDB"/>
    <w:rsid w:val="005F5201"/>
    <w:rsid w:val="005F79C7"/>
    <w:rsid w:val="00601926"/>
    <w:rsid w:val="00602E2B"/>
    <w:rsid w:val="00602F04"/>
    <w:rsid w:val="006033AD"/>
    <w:rsid w:val="00603CA8"/>
    <w:rsid w:val="00603CB7"/>
    <w:rsid w:val="00610618"/>
    <w:rsid w:val="00611D43"/>
    <w:rsid w:val="00615706"/>
    <w:rsid w:val="006277DC"/>
    <w:rsid w:val="00631BCE"/>
    <w:rsid w:val="00641ED9"/>
    <w:rsid w:val="00642DBE"/>
    <w:rsid w:val="00644CD3"/>
    <w:rsid w:val="00644D40"/>
    <w:rsid w:val="0065192C"/>
    <w:rsid w:val="00651B25"/>
    <w:rsid w:val="00662BE7"/>
    <w:rsid w:val="00677DB2"/>
    <w:rsid w:val="00683D20"/>
    <w:rsid w:val="006902D5"/>
    <w:rsid w:val="00692544"/>
    <w:rsid w:val="00692DBA"/>
    <w:rsid w:val="00695578"/>
    <w:rsid w:val="006A0356"/>
    <w:rsid w:val="006A0B3E"/>
    <w:rsid w:val="006A0D5A"/>
    <w:rsid w:val="006A2B3C"/>
    <w:rsid w:val="006A3A3B"/>
    <w:rsid w:val="006A7D7F"/>
    <w:rsid w:val="006B007D"/>
    <w:rsid w:val="006B0FF0"/>
    <w:rsid w:val="006B248E"/>
    <w:rsid w:val="006B55D4"/>
    <w:rsid w:val="006C0B4F"/>
    <w:rsid w:val="006C1476"/>
    <w:rsid w:val="006C23A2"/>
    <w:rsid w:val="006C70B8"/>
    <w:rsid w:val="006D1FCB"/>
    <w:rsid w:val="006D48B0"/>
    <w:rsid w:val="006D581C"/>
    <w:rsid w:val="006D5B0F"/>
    <w:rsid w:val="006F0AA5"/>
    <w:rsid w:val="006F7A39"/>
    <w:rsid w:val="0070090E"/>
    <w:rsid w:val="00710419"/>
    <w:rsid w:val="00721AEC"/>
    <w:rsid w:val="00722887"/>
    <w:rsid w:val="00724186"/>
    <w:rsid w:val="00737410"/>
    <w:rsid w:val="00744557"/>
    <w:rsid w:val="00744DD1"/>
    <w:rsid w:val="007461A0"/>
    <w:rsid w:val="0075192B"/>
    <w:rsid w:val="007521FD"/>
    <w:rsid w:val="00764356"/>
    <w:rsid w:val="00764703"/>
    <w:rsid w:val="007709DF"/>
    <w:rsid w:val="00771084"/>
    <w:rsid w:val="00775F63"/>
    <w:rsid w:val="007779B7"/>
    <w:rsid w:val="00780EF7"/>
    <w:rsid w:val="0078476C"/>
    <w:rsid w:val="00786540"/>
    <w:rsid w:val="00787B43"/>
    <w:rsid w:val="00790FD2"/>
    <w:rsid w:val="00791C3A"/>
    <w:rsid w:val="00791F41"/>
    <w:rsid w:val="007A09DC"/>
    <w:rsid w:val="007A5186"/>
    <w:rsid w:val="007A5400"/>
    <w:rsid w:val="007B03EC"/>
    <w:rsid w:val="007B18FB"/>
    <w:rsid w:val="007B3DE8"/>
    <w:rsid w:val="007B6FD3"/>
    <w:rsid w:val="007B76A4"/>
    <w:rsid w:val="007C027D"/>
    <w:rsid w:val="007C165D"/>
    <w:rsid w:val="007D0438"/>
    <w:rsid w:val="007D3C33"/>
    <w:rsid w:val="007D6C1E"/>
    <w:rsid w:val="007E694A"/>
    <w:rsid w:val="007E6D58"/>
    <w:rsid w:val="007F66DD"/>
    <w:rsid w:val="008041B7"/>
    <w:rsid w:val="008062AE"/>
    <w:rsid w:val="008076FE"/>
    <w:rsid w:val="0081266B"/>
    <w:rsid w:val="00812C32"/>
    <w:rsid w:val="00812C79"/>
    <w:rsid w:val="0081380F"/>
    <w:rsid w:val="00821668"/>
    <w:rsid w:val="00824698"/>
    <w:rsid w:val="00833A24"/>
    <w:rsid w:val="0083432B"/>
    <w:rsid w:val="008420B9"/>
    <w:rsid w:val="00843350"/>
    <w:rsid w:val="00843F88"/>
    <w:rsid w:val="00854DCF"/>
    <w:rsid w:val="00856017"/>
    <w:rsid w:val="00875525"/>
    <w:rsid w:val="0089101B"/>
    <w:rsid w:val="00893188"/>
    <w:rsid w:val="00894D66"/>
    <w:rsid w:val="00896144"/>
    <w:rsid w:val="00896555"/>
    <w:rsid w:val="008A2A5A"/>
    <w:rsid w:val="008A35E4"/>
    <w:rsid w:val="008A370C"/>
    <w:rsid w:val="008A3F5B"/>
    <w:rsid w:val="008B1DC2"/>
    <w:rsid w:val="008B51B3"/>
    <w:rsid w:val="008B6C86"/>
    <w:rsid w:val="008D1837"/>
    <w:rsid w:val="008D4F5F"/>
    <w:rsid w:val="008E04DA"/>
    <w:rsid w:val="008E17D2"/>
    <w:rsid w:val="008E2F67"/>
    <w:rsid w:val="008E3D57"/>
    <w:rsid w:val="008E5D13"/>
    <w:rsid w:val="008E768B"/>
    <w:rsid w:val="008F23EE"/>
    <w:rsid w:val="008F31D2"/>
    <w:rsid w:val="008F3EC2"/>
    <w:rsid w:val="00910510"/>
    <w:rsid w:val="0091405B"/>
    <w:rsid w:val="00915E20"/>
    <w:rsid w:val="009313BE"/>
    <w:rsid w:val="009324DE"/>
    <w:rsid w:val="00933662"/>
    <w:rsid w:val="009441BF"/>
    <w:rsid w:val="009454D8"/>
    <w:rsid w:val="00946C36"/>
    <w:rsid w:val="00946FE1"/>
    <w:rsid w:val="009524A2"/>
    <w:rsid w:val="00956093"/>
    <w:rsid w:val="009602D8"/>
    <w:rsid w:val="0096245E"/>
    <w:rsid w:val="0096754E"/>
    <w:rsid w:val="00970AD0"/>
    <w:rsid w:val="00981B2C"/>
    <w:rsid w:val="00985BF2"/>
    <w:rsid w:val="00985F63"/>
    <w:rsid w:val="0099024A"/>
    <w:rsid w:val="00992DB3"/>
    <w:rsid w:val="00994C3E"/>
    <w:rsid w:val="009956F2"/>
    <w:rsid w:val="009A4575"/>
    <w:rsid w:val="009A544E"/>
    <w:rsid w:val="009A57CD"/>
    <w:rsid w:val="009A6497"/>
    <w:rsid w:val="009A68AE"/>
    <w:rsid w:val="009B26A8"/>
    <w:rsid w:val="009B26E3"/>
    <w:rsid w:val="009B3A64"/>
    <w:rsid w:val="009B751C"/>
    <w:rsid w:val="009B798E"/>
    <w:rsid w:val="009D2A87"/>
    <w:rsid w:val="009D2EA4"/>
    <w:rsid w:val="009D312F"/>
    <w:rsid w:val="009D46A5"/>
    <w:rsid w:val="009D47B5"/>
    <w:rsid w:val="009D4C5B"/>
    <w:rsid w:val="009D546B"/>
    <w:rsid w:val="009E059B"/>
    <w:rsid w:val="009E46FB"/>
    <w:rsid w:val="009E5764"/>
    <w:rsid w:val="009F45F3"/>
    <w:rsid w:val="009F63C9"/>
    <w:rsid w:val="009F6549"/>
    <w:rsid w:val="009F7B6B"/>
    <w:rsid w:val="00A02F0C"/>
    <w:rsid w:val="00A04B84"/>
    <w:rsid w:val="00A1536A"/>
    <w:rsid w:val="00A20712"/>
    <w:rsid w:val="00A216D2"/>
    <w:rsid w:val="00A26539"/>
    <w:rsid w:val="00A2672D"/>
    <w:rsid w:val="00A27F26"/>
    <w:rsid w:val="00A3174B"/>
    <w:rsid w:val="00A33851"/>
    <w:rsid w:val="00A3553F"/>
    <w:rsid w:val="00A46885"/>
    <w:rsid w:val="00A545ED"/>
    <w:rsid w:val="00A60F98"/>
    <w:rsid w:val="00A6413B"/>
    <w:rsid w:val="00A67302"/>
    <w:rsid w:val="00A67E34"/>
    <w:rsid w:val="00A71F3D"/>
    <w:rsid w:val="00A72559"/>
    <w:rsid w:val="00A808FF"/>
    <w:rsid w:val="00A80B4A"/>
    <w:rsid w:val="00A91D8C"/>
    <w:rsid w:val="00A9276E"/>
    <w:rsid w:val="00AA5B3B"/>
    <w:rsid w:val="00AA741D"/>
    <w:rsid w:val="00AB0563"/>
    <w:rsid w:val="00AC4AA2"/>
    <w:rsid w:val="00AD3FF2"/>
    <w:rsid w:val="00AD4A42"/>
    <w:rsid w:val="00AE035A"/>
    <w:rsid w:val="00AE0999"/>
    <w:rsid w:val="00AE568C"/>
    <w:rsid w:val="00B152AC"/>
    <w:rsid w:val="00B1692B"/>
    <w:rsid w:val="00B235BF"/>
    <w:rsid w:val="00B25AC3"/>
    <w:rsid w:val="00B31C06"/>
    <w:rsid w:val="00B32098"/>
    <w:rsid w:val="00B45685"/>
    <w:rsid w:val="00B45EF4"/>
    <w:rsid w:val="00B53E57"/>
    <w:rsid w:val="00B555BD"/>
    <w:rsid w:val="00B560C2"/>
    <w:rsid w:val="00B606A0"/>
    <w:rsid w:val="00B6614B"/>
    <w:rsid w:val="00B7097F"/>
    <w:rsid w:val="00B74AD2"/>
    <w:rsid w:val="00B77250"/>
    <w:rsid w:val="00B8006C"/>
    <w:rsid w:val="00B81174"/>
    <w:rsid w:val="00B87C0D"/>
    <w:rsid w:val="00B93B23"/>
    <w:rsid w:val="00BA62A1"/>
    <w:rsid w:val="00BB0FE9"/>
    <w:rsid w:val="00BC0D5C"/>
    <w:rsid w:val="00BC443D"/>
    <w:rsid w:val="00BC5C1B"/>
    <w:rsid w:val="00BD37BE"/>
    <w:rsid w:val="00BD5C0E"/>
    <w:rsid w:val="00BD6EBA"/>
    <w:rsid w:val="00BD733D"/>
    <w:rsid w:val="00BE0153"/>
    <w:rsid w:val="00BE1008"/>
    <w:rsid w:val="00BE3517"/>
    <w:rsid w:val="00BE5A0C"/>
    <w:rsid w:val="00BE5D0E"/>
    <w:rsid w:val="00BE7D76"/>
    <w:rsid w:val="00BF38CD"/>
    <w:rsid w:val="00BF6204"/>
    <w:rsid w:val="00C10F2C"/>
    <w:rsid w:val="00C135F9"/>
    <w:rsid w:val="00C16FD8"/>
    <w:rsid w:val="00C1723D"/>
    <w:rsid w:val="00C22822"/>
    <w:rsid w:val="00C232DF"/>
    <w:rsid w:val="00C30B74"/>
    <w:rsid w:val="00C313EF"/>
    <w:rsid w:val="00C34CC8"/>
    <w:rsid w:val="00C360C5"/>
    <w:rsid w:val="00C37307"/>
    <w:rsid w:val="00C4109D"/>
    <w:rsid w:val="00C41F26"/>
    <w:rsid w:val="00C474BC"/>
    <w:rsid w:val="00C57BFF"/>
    <w:rsid w:val="00C636A4"/>
    <w:rsid w:val="00C64F47"/>
    <w:rsid w:val="00C75648"/>
    <w:rsid w:val="00C8099D"/>
    <w:rsid w:val="00C84388"/>
    <w:rsid w:val="00C8772B"/>
    <w:rsid w:val="00C92739"/>
    <w:rsid w:val="00C93261"/>
    <w:rsid w:val="00C94760"/>
    <w:rsid w:val="00C948B0"/>
    <w:rsid w:val="00C972E4"/>
    <w:rsid w:val="00CA0F42"/>
    <w:rsid w:val="00CA175C"/>
    <w:rsid w:val="00CA5415"/>
    <w:rsid w:val="00CB3BE2"/>
    <w:rsid w:val="00CB59CC"/>
    <w:rsid w:val="00CC1B13"/>
    <w:rsid w:val="00CC55E3"/>
    <w:rsid w:val="00CD0396"/>
    <w:rsid w:val="00CD2A5C"/>
    <w:rsid w:val="00CD2B72"/>
    <w:rsid w:val="00CD321E"/>
    <w:rsid w:val="00CD77D4"/>
    <w:rsid w:val="00CE09AF"/>
    <w:rsid w:val="00CE7408"/>
    <w:rsid w:val="00CF7782"/>
    <w:rsid w:val="00D03BFF"/>
    <w:rsid w:val="00D11F69"/>
    <w:rsid w:val="00D161D2"/>
    <w:rsid w:val="00D20444"/>
    <w:rsid w:val="00D27703"/>
    <w:rsid w:val="00D30492"/>
    <w:rsid w:val="00D3792D"/>
    <w:rsid w:val="00D526CB"/>
    <w:rsid w:val="00D62433"/>
    <w:rsid w:val="00D62C83"/>
    <w:rsid w:val="00D87184"/>
    <w:rsid w:val="00DA041C"/>
    <w:rsid w:val="00DA1E82"/>
    <w:rsid w:val="00DB1EF3"/>
    <w:rsid w:val="00DB4967"/>
    <w:rsid w:val="00DB5B9F"/>
    <w:rsid w:val="00DB786F"/>
    <w:rsid w:val="00DC0830"/>
    <w:rsid w:val="00DC3FD5"/>
    <w:rsid w:val="00DD4173"/>
    <w:rsid w:val="00DD43B2"/>
    <w:rsid w:val="00DD5758"/>
    <w:rsid w:val="00DE13A2"/>
    <w:rsid w:val="00DE3331"/>
    <w:rsid w:val="00DE688A"/>
    <w:rsid w:val="00DF5E5E"/>
    <w:rsid w:val="00DF63A2"/>
    <w:rsid w:val="00E00879"/>
    <w:rsid w:val="00E03745"/>
    <w:rsid w:val="00E03815"/>
    <w:rsid w:val="00E0453A"/>
    <w:rsid w:val="00E05FEC"/>
    <w:rsid w:val="00E1137F"/>
    <w:rsid w:val="00E139DD"/>
    <w:rsid w:val="00E150C7"/>
    <w:rsid w:val="00E162D7"/>
    <w:rsid w:val="00E265EA"/>
    <w:rsid w:val="00E45B63"/>
    <w:rsid w:val="00E47364"/>
    <w:rsid w:val="00E47A0D"/>
    <w:rsid w:val="00E507F0"/>
    <w:rsid w:val="00E522D3"/>
    <w:rsid w:val="00E539AB"/>
    <w:rsid w:val="00E5689B"/>
    <w:rsid w:val="00E56B6E"/>
    <w:rsid w:val="00E6167F"/>
    <w:rsid w:val="00E70A66"/>
    <w:rsid w:val="00E75FD3"/>
    <w:rsid w:val="00E76AF4"/>
    <w:rsid w:val="00E85C61"/>
    <w:rsid w:val="00E938D1"/>
    <w:rsid w:val="00E96D89"/>
    <w:rsid w:val="00E97EAF"/>
    <w:rsid w:val="00EA3F32"/>
    <w:rsid w:val="00EA7648"/>
    <w:rsid w:val="00EB229D"/>
    <w:rsid w:val="00EB40CC"/>
    <w:rsid w:val="00EC4C85"/>
    <w:rsid w:val="00EC6041"/>
    <w:rsid w:val="00ED1CBD"/>
    <w:rsid w:val="00ED2C04"/>
    <w:rsid w:val="00ED2C72"/>
    <w:rsid w:val="00ED58CB"/>
    <w:rsid w:val="00EE2BD8"/>
    <w:rsid w:val="00EF21B5"/>
    <w:rsid w:val="00EF4615"/>
    <w:rsid w:val="00EF7223"/>
    <w:rsid w:val="00EF7373"/>
    <w:rsid w:val="00F02648"/>
    <w:rsid w:val="00F05AC6"/>
    <w:rsid w:val="00F151C1"/>
    <w:rsid w:val="00F17DAF"/>
    <w:rsid w:val="00F25F33"/>
    <w:rsid w:val="00F25F9A"/>
    <w:rsid w:val="00F26DD2"/>
    <w:rsid w:val="00F33857"/>
    <w:rsid w:val="00F36A09"/>
    <w:rsid w:val="00F413A5"/>
    <w:rsid w:val="00F4348B"/>
    <w:rsid w:val="00F450FA"/>
    <w:rsid w:val="00F45E11"/>
    <w:rsid w:val="00F47E59"/>
    <w:rsid w:val="00F55067"/>
    <w:rsid w:val="00F602B2"/>
    <w:rsid w:val="00F6042E"/>
    <w:rsid w:val="00F616B4"/>
    <w:rsid w:val="00F64220"/>
    <w:rsid w:val="00F66477"/>
    <w:rsid w:val="00F66EDB"/>
    <w:rsid w:val="00F67CBF"/>
    <w:rsid w:val="00F70F76"/>
    <w:rsid w:val="00F713DE"/>
    <w:rsid w:val="00F715B7"/>
    <w:rsid w:val="00F716D9"/>
    <w:rsid w:val="00F75136"/>
    <w:rsid w:val="00F77405"/>
    <w:rsid w:val="00F77546"/>
    <w:rsid w:val="00F90C49"/>
    <w:rsid w:val="00F921CB"/>
    <w:rsid w:val="00F93AC2"/>
    <w:rsid w:val="00F9535D"/>
    <w:rsid w:val="00FA0A0A"/>
    <w:rsid w:val="00FA3C62"/>
    <w:rsid w:val="00FB0162"/>
    <w:rsid w:val="00FB2AC2"/>
    <w:rsid w:val="00FB6C98"/>
    <w:rsid w:val="00FB6DD8"/>
    <w:rsid w:val="00FC35BC"/>
    <w:rsid w:val="00FD4DBD"/>
    <w:rsid w:val="00FE6605"/>
    <w:rsid w:val="00FF0BE6"/>
    <w:rsid w:val="00FF7B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FD41C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FD41C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D41C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FD41C9"/>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FD41C9"/>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FD41C9"/>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A2"/>
    <w:pPr>
      <w:spacing w:after="160" w:line="259" w:lineRule="auto"/>
    </w:pPr>
  </w:style>
  <w:style w:type="paragraph" w:styleId="1">
    <w:name w:val="heading 1"/>
    <w:basedOn w:val="a"/>
    <w:next w:val="a"/>
    <w:link w:val="10"/>
    <w:uiPriority w:val="99"/>
    <w:qFormat/>
    <w:rsid w:val="009524A2"/>
    <w:pPr>
      <w:keepNext/>
      <w:keepLines/>
      <w:spacing w:before="480" w:after="120"/>
      <w:outlineLvl w:val="0"/>
    </w:pPr>
    <w:rPr>
      <w:b/>
      <w:sz w:val="48"/>
      <w:szCs w:val="48"/>
    </w:rPr>
  </w:style>
  <w:style w:type="paragraph" w:styleId="2">
    <w:name w:val="heading 2"/>
    <w:basedOn w:val="a"/>
    <w:next w:val="a"/>
    <w:link w:val="20"/>
    <w:uiPriority w:val="99"/>
    <w:qFormat/>
    <w:rsid w:val="009524A2"/>
    <w:pPr>
      <w:keepNext/>
      <w:keepLines/>
      <w:spacing w:before="360" w:after="80"/>
      <w:outlineLvl w:val="1"/>
    </w:pPr>
    <w:rPr>
      <w:b/>
      <w:sz w:val="36"/>
      <w:szCs w:val="36"/>
    </w:rPr>
  </w:style>
  <w:style w:type="paragraph" w:styleId="3">
    <w:name w:val="heading 3"/>
    <w:basedOn w:val="a"/>
    <w:next w:val="a"/>
    <w:link w:val="30"/>
    <w:uiPriority w:val="99"/>
    <w:qFormat/>
    <w:rsid w:val="009524A2"/>
    <w:pPr>
      <w:spacing w:line="240" w:lineRule="auto"/>
      <w:outlineLvl w:val="2"/>
    </w:pPr>
    <w:rPr>
      <w:rFonts w:ascii="Times New Roman" w:eastAsia="Times New Roman" w:hAnsi="Times New Roman" w:cs="Times New Roman"/>
      <w:b/>
      <w:sz w:val="26"/>
      <w:szCs w:val="26"/>
    </w:rPr>
  </w:style>
  <w:style w:type="paragraph" w:styleId="4">
    <w:name w:val="heading 4"/>
    <w:basedOn w:val="a"/>
    <w:next w:val="a"/>
    <w:link w:val="40"/>
    <w:uiPriority w:val="99"/>
    <w:qFormat/>
    <w:rsid w:val="009524A2"/>
    <w:pPr>
      <w:keepNext/>
      <w:keepLines/>
      <w:spacing w:before="240" w:after="40"/>
      <w:outlineLvl w:val="3"/>
    </w:pPr>
    <w:rPr>
      <w:b/>
      <w:sz w:val="24"/>
      <w:szCs w:val="24"/>
    </w:rPr>
  </w:style>
  <w:style w:type="paragraph" w:styleId="5">
    <w:name w:val="heading 5"/>
    <w:basedOn w:val="a"/>
    <w:next w:val="a"/>
    <w:link w:val="50"/>
    <w:uiPriority w:val="99"/>
    <w:qFormat/>
    <w:rsid w:val="009524A2"/>
    <w:pPr>
      <w:keepNext/>
      <w:keepLines/>
      <w:spacing w:before="220" w:after="40"/>
      <w:outlineLvl w:val="4"/>
    </w:pPr>
    <w:rPr>
      <w:b/>
    </w:rPr>
  </w:style>
  <w:style w:type="paragraph" w:styleId="6">
    <w:name w:val="heading 6"/>
    <w:basedOn w:val="a"/>
    <w:next w:val="a"/>
    <w:link w:val="60"/>
    <w:uiPriority w:val="99"/>
    <w:qFormat/>
    <w:rsid w:val="009524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6A3A"/>
    <w:rPr>
      <w:rFonts w:cs="Times New Roman"/>
      <w:b/>
      <w:sz w:val="48"/>
      <w:szCs w:val="48"/>
    </w:rPr>
  </w:style>
  <w:style w:type="character" w:customStyle="1" w:styleId="20">
    <w:name w:val="Заголовок 2 Знак"/>
    <w:basedOn w:val="a0"/>
    <w:link w:val="2"/>
    <w:uiPriority w:val="9"/>
    <w:semiHidden/>
    <w:rsid w:val="00FD41C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036A3A"/>
    <w:rPr>
      <w:rFonts w:ascii="Times New Roman" w:hAnsi="Times New Roman" w:cs="Times New Roman"/>
      <w:b/>
      <w:sz w:val="26"/>
      <w:szCs w:val="26"/>
    </w:rPr>
  </w:style>
  <w:style w:type="character" w:customStyle="1" w:styleId="40">
    <w:name w:val="Заголовок 4 Знак"/>
    <w:basedOn w:val="a0"/>
    <w:link w:val="4"/>
    <w:uiPriority w:val="9"/>
    <w:semiHidden/>
    <w:rsid w:val="00FD41C9"/>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FD41C9"/>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FD41C9"/>
    <w:rPr>
      <w:rFonts w:asciiTheme="minorHAnsi" w:eastAsiaTheme="minorEastAsia" w:hAnsiTheme="minorHAnsi" w:cstheme="minorBidi"/>
      <w:b/>
      <w:bCs/>
    </w:rPr>
  </w:style>
  <w:style w:type="table" w:customStyle="1" w:styleId="TableNormal1">
    <w:name w:val="Table Normal1"/>
    <w:uiPriority w:val="99"/>
    <w:rsid w:val="009524A2"/>
    <w:pPr>
      <w:spacing w:after="160" w:line="259" w:lineRule="auto"/>
    </w:pPr>
    <w:tblPr>
      <w:tblCellMar>
        <w:top w:w="0" w:type="dxa"/>
        <w:left w:w="0" w:type="dxa"/>
        <w:bottom w:w="0" w:type="dxa"/>
        <w:right w:w="0" w:type="dxa"/>
      </w:tblCellMar>
    </w:tblPr>
  </w:style>
  <w:style w:type="paragraph" w:styleId="a3">
    <w:name w:val="Title"/>
    <w:basedOn w:val="a"/>
    <w:next w:val="a"/>
    <w:link w:val="a4"/>
    <w:uiPriority w:val="99"/>
    <w:qFormat/>
    <w:rsid w:val="009524A2"/>
    <w:pPr>
      <w:keepNext/>
      <w:keepLines/>
      <w:spacing w:before="480" w:after="120"/>
    </w:pPr>
    <w:rPr>
      <w:b/>
      <w:sz w:val="72"/>
      <w:szCs w:val="72"/>
    </w:rPr>
  </w:style>
  <w:style w:type="character" w:customStyle="1" w:styleId="a4">
    <w:name w:val="Название Знак"/>
    <w:basedOn w:val="a0"/>
    <w:link w:val="a3"/>
    <w:uiPriority w:val="10"/>
    <w:rsid w:val="00FD41C9"/>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9524A2"/>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FD41C9"/>
    <w:rPr>
      <w:rFonts w:asciiTheme="majorHAnsi" w:eastAsiaTheme="majorEastAsia" w:hAnsiTheme="majorHAnsi" w:cstheme="majorBidi"/>
      <w:sz w:val="24"/>
      <w:szCs w:val="24"/>
    </w:rPr>
  </w:style>
  <w:style w:type="table" w:customStyle="1" w:styleId="a7">
    <w:name w:val="Стиль"/>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9">
    <w:name w:val="Стиль6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8">
    <w:name w:val="Стиль6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7">
    <w:name w:val="Стиль6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6">
    <w:name w:val="Стиль6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5">
    <w:name w:val="Стиль6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4">
    <w:name w:val="Стиль6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3">
    <w:name w:val="Стиль6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2">
    <w:name w:val="Стиль6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1">
    <w:name w:val="Стиль6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00">
    <w:name w:val="Стиль6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9">
    <w:name w:val="Стиль5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8">
    <w:name w:val="Стиль5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7">
    <w:name w:val="Стиль5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6">
    <w:name w:val="Стиль5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5">
    <w:name w:val="Стиль5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4">
    <w:name w:val="Стиль5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3">
    <w:name w:val="Стиль5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2">
    <w:name w:val="Стиль5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1">
    <w:name w:val="Стиль5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00">
    <w:name w:val="Стиль5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9">
    <w:name w:val="Стиль4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8">
    <w:name w:val="Стиль4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7">
    <w:name w:val="Стиль4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6">
    <w:name w:val="Стиль4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5">
    <w:name w:val="Стиль4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4">
    <w:name w:val="Стиль4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3">
    <w:name w:val="Стиль4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2">
    <w:name w:val="Стиль4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1">
    <w:name w:val="Стиль4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00">
    <w:name w:val="Стиль4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9">
    <w:name w:val="Стиль3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8">
    <w:name w:val="Стиль3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7">
    <w:name w:val="Стиль3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6">
    <w:name w:val="Стиль3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5">
    <w:name w:val="Стиль3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4">
    <w:name w:val="Стиль3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3">
    <w:name w:val="Стиль3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2">
    <w:name w:val="Стиль3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1">
    <w:name w:val="Стиль3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00">
    <w:name w:val="Стиль3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9">
    <w:name w:val="Стиль2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8">
    <w:name w:val="Стиль2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7">
    <w:name w:val="Стиль2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6">
    <w:name w:val="Стиль2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5">
    <w:name w:val="Стиль2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4">
    <w:name w:val="Стиль2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3">
    <w:name w:val="Стиль2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2">
    <w:name w:val="Стиль2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1">
    <w:name w:val="Стиль2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00">
    <w:name w:val="Стиль2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9">
    <w:name w:val="Стиль1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8">
    <w:name w:val="Стиль1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7">
    <w:name w:val="Стиль1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6">
    <w:name w:val="Стиль1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5">
    <w:name w:val="Стиль1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4">
    <w:name w:val="Стиль1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3">
    <w:name w:val="Стиль1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2">
    <w:name w:val="Стиль1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1">
    <w:name w:val="Стиль11"/>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00">
    <w:name w:val="Стиль10"/>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9">
    <w:name w:val="Стиль9"/>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8">
    <w:name w:val="Стиль8"/>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7">
    <w:name w:val="Стиль7"/>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6a">
    <w:name w:val="Стиль6"/>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5a">
    <w:name w:val="Стиль5"/>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4a">
    <w:name w:val="Стиль4"/>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3a">
    <w:name w:val="Стиль3"/>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2a">
    <w:name w:val="Стиль2"/>
    <w:basedOn w:val="TableNormal1"/>
    <w:uiPriority w:val="99"/>
    <w:rsid w:val="009524A2"/>
    <w:tblPr>
      <w:tblStyleRowBandSize w:val="1"/>
      <w:tblStyleColBandSize w:val="1"/>
      <w:tblCellMar>
        <w:top w:w="100" w:type="dxa"/>
        <w:left w:w="100" w:type="dxa"/>
        <w:bottom w:w="100" w:type="dxa"/>
        <w:right w:w="100" w:type="dxa"/>
      </w:tblCellMar>
    </w:tblPr>
  </w:style>
  <w:style w:type="table" w:customStyle="1" w:styleId="1a">
    <w:name w:val="Стиль1"/>
    <w:basedOn w:val="TableNormal1"/>
    <w:uiPriority w:val="99"/>
    <w:rsid w:val="009524A2"/>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rsid w:val="002A3D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A3D4F"/>
    <w:rPr>
      <w:rFonts w:ascii="Segoe UI" w:hAnsi="Segoe UI" w:cs="Segoe UI"/>
      <w:sz w:val="18"/>
      <w:szCs w:val="18"/>
    </w:rPr>
  </w:style>
  <w:style w:type="paragraph" w:customStyle="1" w:styleId="rvps2">
    <w:name w:val="rvps2"/>
    <w:basedOn w:val="a"/>
    <w:uiPriority w:val="99"/>
    <w:rsid w:val="0095609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rsid w:val="00956093"/>
    <w:rPr>
      <w:rFonts w:cs="Times New Roman"/>
      <w:color w:val="0000FF"/>
      <w:u w:val="single"/>
    </w:rPr>
  </w:style>
  <w:style w:type="character" w:customStyle="1" w:styleId="rvts46">
    <w:name w:val="rvts46"/>
    <w:basedOn w:val="a0"/>
    <w:uiPriority w:val="99"/>
    <w:rsid w:val="00956093"/>
    <w:rPr>
      <w:rFonts w:cs="Times New Roman"/>
    </w:rPr>
  </w:style>
  <w:style w:type="paragraph" w:styleId="ab">
    <w:name w:val="Normal (Web)"/>
    <w:aliases w:val="Обычный (Web),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
    <w:basedOn w:val="a"/>
    <w:link w:val="1b"/>
    <w:uiPriority w:val="99"/>
    <w:rsid w:val="00DB5B9F"/>
    <w:pPr>
      <w:spacing w:before="100" w:beforeAutospacing="1" w:after="100" w:afterAutospacing="1" w:line="240" w:lineRule="auto"/>
    </w:pPr>
    <w:rPr>
      <w:rFonts w:ascii="Times New Roman" w:hAnsi="Times New Roman" w:cs="Times New Roman"/>
      <w:sz w:val="24"/>
      <w:szCs w:val="24"/>
    </w:rPr>
  </w:style>
  <w:style w:type="character" w:customStyle="1" w:styleId="1b">
    <w:name w:val="Обычный (веб) Знак1"/>
    <w:aliases w:val="Обычный (Web) Знак,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
    <w:link w:val="ab"/>
    <w:uiPriority w:val="99"/>
    <w:locked/>
    <w:rsid w:val="00DB5B9F"/>
    <w:rPr>
      <w:rFonts w:ascii="Times New Roman" w:hAnsi="Times New Roman"/>
      <w:sz w:val="24"/>
    </w:rPr>
  </w:style>
  <w:style w:type="character" w:customStyle="1" w:styleId="rvts9">
    <w:name w:val="rvts9"/>
    <w:basedOn w:val="a0"/>
    <w:uiPriority w:val="99"/>
    <w:rsid w:val="005E632D"/>
    <w:rPr>
      <w:rFonts w:cs="Times New Roman"/>
    </w:rPr>
  </w:style>
  <w:style w:type="paragraph" w:styleId="ac">
    <w:name w:val="header"/>
    <w:basedOn w:val="a"/>
    <w:link w:val="ad"/>
    <w:uiPriority w:val="99"/>
    <w:rsid w:val="009D47B5"/>
    <w:pPr>
      <w:tabs>
        <w:tab w:val="center" w:pos="4819"/>
        <w:tab w:val="right" w:pos="9639"/>
      </w:tabs>
      <w:spacing w:after="0" w:line="240" w:lineRule="auto"/>
    </w:pPr>
  </w:style>
  <w:style w:type="character" w:customStyle="1" w:styleId="ad">
    <w:name w:val="Верхний колонтитул Знак"/>
    <w:basedOn w:val="a0"/>
    <w:link w:val="ac"/>
    <w:uiPriority w:val="99"/>
    <w:locked/>
    <w:rsid w:val="009D47B5"/>
    <w:rPr>
      <w:rFonts w:cs="Times New Roman"/>
    </w:rPr>
  </w:style>
  <w:style w:type="paragraph" w:styleId="ae">
    <w:name w:val="footer"/>
    <w:basedOn w:val="a"/>
    <w:link w:val="af"/>
    <w:uiPriority w:val="99"/>
    <w:rsid w:val="009D47B5"/>
    <w:pPr>
      <w:tabs>
        <w:tab w:val="center" w:pos="4819"/>
        <w:tab w:val="right" w:pos="9639"/>
      </w:tabs>
      <w:spacing w:after="0" w:line="240" w:lineRule="auto"/>
    </w:pPr>
  </w:style>
  <w:style w:type="character" w:customStyle="1" w:styleId="af">
    <w:name w:val="Нижний колонтитул Знак"/>
    <w:basedOn w:val="a0"/>
    <w:link w:val="ae"/>
    <w:uiPriority w:val="99"/>
    <w:locked/>
    <w:rsid w:val="009D47B5"/>
    <w:rPr>
      <w:rFonts w:cs="Times New Roman"/>
    </w:rPr>
  </w:style>
  <w:style w:type="paragraph" w:styleId="af0">
    <w:name w:val="No Spacing"/>
    <w:link w:val="af1"/>
    <w:uiPriority w:val="99"/>
    <w:qFormat/>
    <w:rsid w:val="00407D27"/>
    <w:pPr>
      <w:spacing w:after="160" w:line="259" w:lineRule="auto"/>
    </w:pPr>
    <w:rPr>
      <w:rFonts w:cs="Times New Roman"/>
      <w:lang w:eastAsia="en-US"/>
    </w:rPr>
  </w:style>
  <w:style w:type="character" w:customStyle="1" w:styleId="af1">
    <w:name w:val="Без интервала Знак"/>
    <w:link w:val="af0"/>
    <w:uiPriority w:val="99"/>
    <w:locked/>
    <w:rsid w:val="00407D27"/>
    <w:rPr>
      <w:sz w:val="22"/>
      <w:lang w:eastAsia="en-US"/>
    </w:rPr>
  </w:style>
  <w:style w:type="table" w:styleId="af2">
    <w:name w:val="Table Grid"/>
    <w:basedOn w:val="a1"/>
    <w:uiPriority w:val="99"/>
    <w:rsid w:val="00843F88"/>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uiPriority w:val="99"/>
    <w:rsid w:val="00AE03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c">
    <w:name w:val="Сітка таблиці1"/>
    <w:uiPriority w:val="99"/>
    <w:rsid w:val="00416730"/>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uiPriority w:val="99"/>
    <w:rsid w:val="008E2F67"/>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ітка таблиці3"/>
    <w:uiPriority w:val="99"/>
    <w:rsid w:val="00F93AC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ітка таблиці4"/>
    <w:uiPriority w:val="99"/>
    <w:rsid w:val="00A67302"/>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A67302"/>
    <w:pPr>
      <w:spacing w:line="240" w:lineRule="auto"/>
      <w:ind w:left="720"/>
      <w:contextualSpacing/>
    </w:pPr>
    <w:rPr>
      <w:rFonts w:ascii="Liberation Serif" w:hAnsi="Liberation Serif" w:cs="Lohit Devanagari"/>
      <w:kern w:val="2"/>
      <w:sz w:val="24"/>
      <w:szCs w:val="24"/>
      <w:lang w:eastAsia="zh-CN" w:bidi="hi-IN"/>
    </w:rPr>
  </w:style>
  <w:style w:type="character" w:customStyle="1" w:styleId="rvts80">
    <w:name w:val="rvts80"/>
    <w:basedOn w:val="a0"/>
    <w:uiPriority w:val="99"/>
    <w:rsid w:val="00036A3A"/>
    <w:rPr>
      <w:rFonts w:cs="Times New Roman"/>
    </w:rPr>
  </w:style>
  <w:style w:type="paragraph" w:customStyle="1" w:styleId="rvps14">
    <w:name w:val="rvps14"/>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uiPriority w:val="99"/>
    <w:rsid w:val="00036A3A"/>
    <w:rPr>
      <w:rFonts w:cs="Times New Roman"/>
    </w:rPr>
  </w:style>
  <w:style w:type="paragraph" w:customStyle="1" w:styleId="af4">
    <w:name w:val="Нормальний текст"/>
    <w:basedOn w:val="a"/>
    <w:link w:val="af5"/>
    <w:uiPriority w:val="99"/>
    <w:rsid w:val="00036A3A"/>
    <w:pPr>
      <w:spacing w:before="120" w:after="0" w:line="240" w:lineRule="auto"/>
      <w:ind w:firstLine="567"/>
      <w:jc w:val="both"/>
    </w:pPr>
    <w:rPr>
      <w:rFonts w:ascii="Antiqua" w:eastAsia="Times New Roman" w:hAnsi="Antiqua" w:cs="Times New Roman"/>
      <w:sz w:val="26"/>
      <w:szCs w:val="20"/>
      <w:lang w:eastAsia="ru-RU"/>
    </w:rPr>
  </w:style>
  <w:style w:type="table" w:customStyle="1" w:styleId="110">
    <w:name w:val="Сітка таблиці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ітка таблиці12"/>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5">
    <w:name w:val="rvts15"/>
    <w:uiPriority w:val="99"/>
    <w:rsid w:val="00036A3A"/>
  </w:style>
  <w:style w:type="table" w:customStyle="1" w:styleId="130">
    <w:name w:val="Сітка таблиці13"/>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ітка таблиці14"/>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uiPriority w:val="99"/>
    <w:rsid w:val="00036A3A"/>
    <w:rPr>
      <w:rFonts w:cs="Times New Roman"/>
    </w:rPr>
  </w:style>
  <w:style w:type="paragraph" w:customStyle="1" w:styleId="rvps7">
    <w:name w:val="rvps7"/>
    <w:basedOn w:val="a"/>
    <w:uiPriority w:val="99"/>
    <w:rsid w:val="00036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uiPriority w:val="99"/>
    <w:rsid w:val="00036A3A"/>
    <w:rPr>
      <w:rFonts w:cs="Times New Roman"/>
    </w:rPr>
  </w:style>
  <w:style w:type="table" w:customStyle="1" w:styleId="111">
    <w:name w:val="Сітка таблиці111"/>
    <w:uiPriority w:val="99"/>
    <w:rsid w:val="00036A3A"/>
    <w:rPr>
      <w:rFonts w:ascii="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ітка таблиці41"/>
    <w:uiPriority w:val="99"/>
    <w:rsid w:val="009F7B6B"/>
    <w:rPr>
      <w:rFonts w:ascii="Cambria" w:hAnsi="Cambria"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8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locked/>
    <w:rsid w:val="00286C7E"/>
    <w:rPr>
      <w:rFonts w:ascii="Courier New" w:hAnsi="Courier New" w:cs="Times New Roman"/>
      <w:sz w:val="20"/>
      <w:szCs w:val="20"/>
      <w:lang w:val="ru-RU" w:eastAsia="ru-RU"/>
    </w:rPr>
  </w:style>
  <w:style w:type="character" w:customStyle="1" w:styleId="s0">
    <w:name w:val="s0"/>
    <w:uiPriority w:val="99"/>
    <w:rsid w:val="00DB4967"/>
    <w:rPr>
      <w:rFonts w:ascii="Times New Roman" w:hAnsi="Times New Roman"/>
      <w:color w:val="000000"/>
    </w:rPr>
  </w:style>
  <w:style w:type="character" w:customStyle="1" w:styleId="af5">
    <w:name w:val="Нормальний текст Знак"/>
    <w:link w:val="af4"/>
    <w:uiPriority w:val="99"/>
    <w:locked/>
    <w:rsid w:val="003A5E74"/>
    <w:rPr>
      <w:rFonts w:ascii="Antiqua" w:hAnsi="Antiqua"/>
      <w:sz w:val="20"/>
      <w:lang w:eastAsia="ru-RU"/>
    </w:rPr>
  </w:style>
  <w:style w:type="character" w:styleId="af6">
    <w:name w:val="annotation reference"/>
    <w:basedOn w:val="a0"/>
    <w:uiPriority w:val="99"/>
    <w:semiHidden/>
    <w:rsid w:val="00B7097F"/>
    <w:rPr>
      <w:rFonts w:cs="Times New Roman"/>
      <w:sz w:val="16"/>
      <w:szCs w:val="16"/>
    </w:rPr>
  </w:style>
  <w:style w:type="paragraph" w:styleId="af7">
    <w:name w:val="annotation text"/>
    <w:basedOn w:val="a"/>
    <w:link w:val="af8"/>
    <w:uiPriority w:val="99"/>
    <w:semiHidden/>
    <w:rsid w:val="00B7097F"/>
    <w:pPr>
      <w:spacing w:line="240" w:lineRule="auto"/>
    </w:pPr>
    <w:rPr>
      <w:sz w:val="20"/>
      <w:szCs w:val="20"/>
    </w:rPr>
  </w:style>
  <w:style w:type="character" w:customStyle="1" w:styleId="af8">
    <w:name w:val="Текст примечания Знак"/>
    <w:basedOn w:val="a0"/>
    <w:link w:val="af7"/>
    <w:uiPriority w:val="99"/>
    <w:semiHidden/>
    <w:locked/>
    <w:rsid w:val="00B7097F"/>
    <w:rPr>
      <w:rFonts w:cs="Times New Roman"/>
      <w:sz w:val="20"/>
      <w:szCs w:val="20"/>
    </w:rPr>
  </w:style>
  <w:style w:type="paragraph" w:styleId="af9">
    <w:name w:val="annotation subject"/>
    <w:basedOn w:val="af7"/>
    <w:next w:val="af7"/>
    <w:link w:val="afa"/>
    <w:uiPriority w:val="99"/>
    <w:semiHidden/>
    <w:rsid w:val="00B7097F"/>
    <w:rPr>
      <w:b/>
      <w:bCs/>
    </w:rPr>
  </w:style>
  <w:style w:type="character" w:customStyle="1" w:styleId="afa">
    <w:name w:val="Тема примечания Знак"/>
    <w:basedOn w:val="af8"/>
    <w:link w:val="af9"/>
    <w:uiPriority w:val="99"/>
    <w:semiHidden/>
    <w:locked/>
    <w:rsid w:val="00B7097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97592">
      <w:marLeft w:val="0"/>
      <w:marRight w:val="0"/>
      <w:marTop w:val="0"/>
      <w:marBottom w:val="0"/>
      <w:divBdr>
        <w:top w:val="none" w:sz="0" w:space="0" w:color="auto"/>
        <w:left w:val="none" w:sz="0" w:space="0" w:color="auto"/>
        <w:bottom w:val="none" w:sz="0" w:space="0" w:color="auto"/>
        <w:right w:val="none" w:sz="0" w:space="0" w:color="auto"/>
      </w:divBdr>
      <w:divsChild>
        <w:div w:id="2124297594">
          <w:marLeft w:val="0"/>
          <w:marRight w:val="0"/>
          <w:marTop w:val="150"/>
          <w:marBottom w:val="150"/>
          <w:divBdr>
            <w:top w:val="none" w:sz="0" w:space="0" w:color="auto"/>
            <w:left w:val="none" w:sz="0" w:space="0" w:color="auto"/>
            <w:bottom w:val="none" w:sz="0" w:space="0" w:color="auto"/>
            <w:right w:val="none" w:sz="0" w:space="0" w:color="auto"/>
          </w:divBdr>
        </w:div>
      </w:divsChild>
    </w:div>
    <w:div w:id="2124297593">
      <w:marLeft w:val="0"/>
      <w:marRight w:val="0"/>
      <w:marTop w:val="0"/>
      <w:marBottom w:val="0"/>
      <w:divBdr>
        <w:top w:val="none" w:sz="0" w:space="0" w:color="auto"/>
        <w:left w:val="none" w:sz="0" w:space="0" w:color="auto"/>
        <w:bottom w:val="none" w:sz="0" w:space="0" w:color="auto"/>
        <w:right w:val="none" w:sz="0" w:space="0" w:color="auto"/>
      </w:divBdr>
    </w:div>
    <w:div w:id="2124297595">
      <w:marLeft w:val="0"/>
      <w:marRight w:val="0"/>
      <w:marTop w:val="0"/>
      <w:marBottom w:val="0"/>
      <w:divBdr>
        <w:top w:val="none" w:sz="0" w:space="0" w:color="auto"/>
        <w:left w:val="none" w:sz="0" w:space="0" w:color="auto"/>
        <w:bottom w:val="none" w:sz="0" w:space="0" w:color="auto"/>
        <w:right w:val="none" w:sz="0" w:space="0" w:color="auto"/>
      </w:divBdr>
    </w:div>
    <w:div w:id="2124297596">
      <w:marLeft w:val="0"/>
      <w:marRight w:val="0"/>
      <w:marTop w:val="0"/>
      <w:marBottom w:val="0"/>
      <w:divBdr>
        <w:top w:val="none" w:sz="0" w:space="0" w:color="auto"/>
        <w:left w:val="none" w:sz="0" w:space="0" w:color="auto"/>
        <w:bottom w:val="none" w:sz="0" w:space="0" w:color="auto"/>
        <w:right w:val="none" w:sz="0" w:space="0" w:color="auto"/>
      </w:divBdr>
    </w:div>
    <w:div w:id="2124297597">
      <w:marLeft w:val="0"/>
      <w:marRight w:val="0"/>
      <w:marTop w:val="0"/>
      <w:marBottom w:val="0"/>
      <w:divBdr>
        <w:top w:val="none" w:sz="0" w:space="0" w:color="auto"/>
        <w:left w:val="none" w:sz="0" w:space="0" w:color="auto"/>
        <w:bottom w:val="none" w:sz="0" w:space="0" w:color="auto"/>
        <w:right w:val="none" w:sz="0" w:space="0" w:color="auto"/>
      </w:divBdr>
    </w:div>
    <w:div w:id="2124297598">
      <w:marLeft w:val="0"/>
      <w:marRight w:val="0"/>
      <w:marTop w:val="0"/>
      <w:marBottom w:val="0"/>
      <w:divBdr>
        <w:top w:val="none" w:sz="0" w:space="0" w:color="auto"/>
        <w:left w:val="none" w:sz="0" w:space="0" w:color="auto"/>
        <w:bottom w:val="none" w:sz="0" w:space="0" w:color="auto"/>
        <w:right w:val="none" w:sz="0" w:space="0" w:color="auto"/>
      </w:divBdr>
      <w:divsChild>
        <w:div w:id="2124297603">
          <w:marLeft w:val="0"/>
          <w:marRight w:val="0"/>
          <w:marTop w:val="150"/>
          <w:marBottom w:val="150"/>
          <w:divBdr>
            <w:top w:val="none" w:sz="0" w:space="0" w:color="auto"/>
            <w:left w:val="none" w:sz="0" w:space="0" w:color="auto"/>
            <w:bottom w:val="none" w:sz="0" w:space="0" w:color="auto"/>
            <w:right w:val="none" w:sz="0" w:space="0" w:color="auto"/>
          </w:divBdr>
        </w:div>
      </w:divsChild>
    </w:div>
    <w:div w:id="2124297599">
      <w:marLeft w:val="0"/>
      <w:marRight w:val="0"/>
      <w:marTop w:val="0"/>
      <w:marBottom w:val="0"/>
      <w:divBdr>
        <w:top w:val="none" w:sz="0" w:space="0" w:color="auto"/>
        <w:left w:val="none" w:sz="0" w:space="0" w:color="auto"/>
        <w:bottom w:val="none" w:sz="0" w:space="0" w:color="auto"/>
        <w:right w:val="none" w:sz="0" w:space="0" w:color="auto"/>
      </w:divBdr>
    </w:div>
    <w:div w:id="2124297600">
      <w:marLeft w:val="0"/>
      <w:marRight w:val="0"/>
      <w:marTop w:val="0"/>
      <w:marBottom w:val="0"/>
      <w:divBdr>
        <w:top w:val="none" w:sz="0" w:space="0" w:color="auto"/>
        <w:left w:val="none" w:sz="0" w:space="0" w:color="auto"/>
        <w:bottom w:val="none" w:sz="0" w:space="0" w:color="auto"/>
        <w:right w:val="none" w:sz="0" w:space="0" w:color="auto"/>
      </w:divBdr>
    </w:div>
    <w:div w:id="2124297601">
      <w:marLeft w:val="0"/>
      <w:marRight w:val="0"/>
      <w:marTop w:val="0"/>
      <w:marBottom w:val="0"/>
      <w:divBdr>
        <w:top w:val="none" w:sz="0" w:space="0" w:color="auto"/>
        <w:left w:val="none" w:sz="0" w:space="0" w:color="auto"/>
        <w:bottom w:val="none" w:sz="0" w:space="0" w:color="auto"/>
        <w:right w:val="none" w:sz="0" w:space="0" w:color="auto"/>
      </w:divBdr>
    </w:div>
    <w:div w:id="2124297602">
      <w:marLeft w:val="0"/>
      <w:marRight w:val="0"/>
      <w:marTop w:val="0"/>
      <w:marBottom w:val="0"/>
      <w:divBdr>
        <w:top w:val="none" w:sz="0" w:space="0" w:color="auto"/>
        <w:left w:val="none" w:sz="0" w:space="0" w:color="auto"/>
        <w:bottom w:val="none" w:sz="0" w:space="0" w:color="auto"/>
        <w:right w:val="none" w:sz="0" w:space="0" w:color="auto"/>
      </w:divBdr>
    </w:div>
    <w:div w:id="2124297604">
      <w:marLeft w:val="0"/>
      <w:marRight w:val="0"/>
      <w:marTop w:val="0"/>
      <w:marBottom w:val="0"/>
      <w:divBdr>
        <w:top w:val="none" w:sz="0" w:space="0" w:color="auto"/>
        <w:left w:val="none" w:sz="0" w:space="0" w:color="auto"/>
        <w:bottom w:val="none" w:sz="0" w:space="0" w:color="auto"/>
        <w:right w:val="none" w:sz="0" w:space="0" w:color="auto"/>
      </w:divBdr>
    </w:div>
    <w:div w:id="2124297605">
      <w:marLeft w:val="0"/>
      <w:marRight w:val="0"/>
      <w:marTop w:val="0"/>
      <w:marBottom w:val="0"/>
      <w:divBdr>
        <w:top w:val="none" w:sz="0" w:space="0" w:color="auto"/>
        <w:left w:val="none" w:sz="0" w:space="0" w:color="auto"/>
        <w:bottom w:val="none" w:sz="0" w:space="0" w:color="auto"/>
        <w:right w:val="none" w:sz="0" w:space="0" w:color="auto"/>
      </w:divBdr>
    </w:div>
    <w:div w:id="212429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30149</Words>
  <Characters>17185</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Закон України від 30</vt:lpstr>
    </vt:vector>
  </TitlesOfParts>
  <Company>Krokoz™</Company>
  <LinksUpToDate>false</LinksUpToDate>
  <CharactersWithSpaces>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України від 30</dc:title>
  <dc:creator>Максименко Лариса Петрівна</dc:creator>
  <cp:lastModifiedBy>Шевченко Володимир Олександрович</cp:lastModifiedBy>
  <cp:revision>2</cp:revision>
  <cp:lastPrinted>2021-12-28T12:17:00Z</cp:lastPrinted>
  <dcterms:created xsi:type="dcterms:W3CDTF">2022-01-11T14:05:00Z</dcterms:created>
  <dcterms:modified xsi:type="dcterms:W3CDTF">2022-01-11T14:05:00Z</dcterms:modified>
</cp:coreProperties>
</file>