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D4" w:rsidRDefault="006C08D4" w:rsidP="00A863E6">
      <w:pPr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32"/>
          <w:szCs w:val="32"/>
        </w:rPr>
      </w:pPr>
      <w:r w:rsidRPr="006D5B0F">
        <w:rPr>
          <w:rFonts w:ascii="Times New Roman" w:hAnsi="Times New Roman" w:cs="Times New Roman"/>
          <w:b/>
          <w:color w:val="2F2F2F"/>
          <w:sz w:val="32"/>
          <w:szCs w:val="32"/>
        </w:rPr>
        <w:t xml:space="preserve">Закон України від 30.11.2021  №1914-XI  </w:t>
      </w:r>
    </w:p>
    <w:p w:rsidR="006C08D4" w:rsidRDefault="006C08D4" w:rsidP="00A863E6">
      <w:pPr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32"/>
          <w:szCs w:val="32"/>
        </w:rPr>
      </w:pPr>
      <w:r w:rsidRPr="006D5B0F">
        <w:rPr>
          <w:rFonts w:ascii="Times New Roman" w:hAnsi="Times New Roman" w:cs="Times New Roman"/>
          <w:b/>
          <w:color w:val="2F2F2F"/>
          <w:sz w:val="32"/>
          <w:szCs w:val="32"/>
        </w:rPr>
        <w:t xml:space="preserve">«Про внесення змін до Податкового кодексу України та деяких законодавчих актів України щодо забезпечення збалансованості бюджетних надходжень» </w:t>
      </w:r>
    </w:p>
    <w:p w:rsidR="006C08D4" w:rsidRPr="00316C3E" w:rsidRDefault="006C08D4" w:rsidP="00A863E6">
      <w:pPr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316C3E">
        <w:rPr>
          <w:rFonts w:ascii="Times New Roman" w:hAnsi="Times New Roman" w:cs="Times New Roman"/>
          <w:b/>
          <w:color w:val="2F2F2F"/>
          <w:sz w:val="28"/>
          <w:szCs w:val="28"/>
        </w:rPr>
        <w:t>(офіційно оприлюднено в газеті «Голос Україні» від 21 грудня 2021 року №244)</w:t>
      </w:r>
    </w:p>
    <w:p w:rsidR="006C08D4" w:rsidRPr="00316C3E" w:rsidRDefault="006C08D4" w:rsidP="00A8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3E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6C08D4" w:rsidRDefault="006C08D4" w:rsidP="002E6F6A">
      <w:pPr>
        <w:tabs>
          <w:tab w:val="left" w:pos="13203"/>
        </w:tabs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812"/>
        <w:gridCol w:w="4961"/>
      </w:tblGrid>
      <w:tr w:rsidR="006C08D4" w:rsidTr="0096371B">
        <w:tc>
          <w:tcPr>
            <w:tcW w:w="15701" w:type="dxa"/>
            <w:gridSpan w:val="3"/>
            <w:vAlign w:val="center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371B">
              <w:rPr>
                <w:rFonts w:ascii="Times New Roman" w:hAnsi="Times New Roman" w:cs="Times New Roman"/>
                <w:b/>
                <w:sz w:val="32"/>
                <w:szCs w:val="32"/>
              </w:rPr>
              <w:t>Спрощена система оподаткування, обліку та звітності для фізичних осіб  - підприємців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Cambria" w:hAnsi="Cambria" w:cs="Times New Roman"/>
                <w:lang w:eastAsia="en-US"/>
              </w:rPr>
            </w:pP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Cambria" w:hAnsi="Cambria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6"/>
                <w:szCs w:val="26"/>
              </w:rPr>
              <w:t>редакція норм ПКУ до змін, внесених Законом України від 30.11.2021  №1914-XI</w:t>
            </w:r>
          </w:p>
        </w:tc>
        <w:tc>
          <w:tcPr>
            <w:tcW w:w="5812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Cambria" w:hAnsi="Cambria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6"/>
                <w:szCs w:val="26"/>
              </w:rPr>
              <w:t>редакція норм ПКУ із змінами, внесеними Законом України від 30.11.2021  №1914-XI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Набрання чинності,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коментар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п.291.4 абзац 4 (для 2 групи  платників єдиного податку)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Дія цього підпункту не поширюється на фізичних осіб - підприємців, які надають посередницькі послуги з купівлі, продажу, оренди та оцінювання нерухомого майна (група 70.31 </w:t>
            </w:r>
            <w:hyperlink r:id="rId8" w:tgtFrame="_blank" w:history="1">
              <w:r w:rsidRPr="0096371B">
                <w:rPr>
                  <w:rFonts w:ascii="Times New Roman" w:hAnsi="Times New Roman" w:cs="Times New Roman"/>
                  <w:sz w:val="25"/>
                  <w:szCs w:val="25"/>
                  <w:lang w:eastAsia="en-US"/>
                </w:rPr>
                <w:t>КВЕД ДК 009:2005</w:t>
              </w:r>
            </w:hyperlink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), 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каміння. Такі фізичні особи - підприємці належать виключно до третьої групи платників єдиного податку, якщо відповідають вимогам, встановленим для такої групи</w:t>
            </w:r>
          </w:p>
        </w:tc>
        <w:tc>
          <w:tcPr>
            <w:tcW w:w="5812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ind w:firstLine="212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п.291.4 абзац 4 (для 2 групи  платників єдиного податку)</w:t>
            </w:r>
          </w:p>
          <w:p w:rsidR="006C08D4" w:rsidRPr="0096371B" w:rsidRDefault="006C08D4" w:rsidP="0096371B">
            <w:pPr>
              <w:spacing w:after="0" w:line="240" w:lineRule="auto"/>
              <w:ind w:firstLine="212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Дія цього підпункту не поширюється на фізичних осіб - підприємців, які надають посередницькі послуги з купівлі, продажу, оренди та оцінювання нерухомого майна (група 70.31 КВЕД ДК 009:2005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), послуги з надання доступу до мережі Інтернет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 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каміння. Такі фізичні особи - підприємці належать виключно до третьої групи платників єдиного податку, якщо відповідають вимогам, встановленим для такої групи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 1 січня 2022 року фізичні особи – підприємці </w:t>
            </w: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платники єдиного податку  2 групи  не мають  право  надавати  послуги з надання доступу до мережі Інтернет. 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Такі фізичні особи - підприємці належать виключно до 3  групи платників єдиного податку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п.291.4 До  четвертої групи належать - сільськогосподарські товаровиробники: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bookmarkStart w:id="0" w:name="n15148"/>
            <w:bookmarkStart w:id="1" w:name="n15149"/>
            <w:bookmarkEnd w:id="0"/>
            <w:bookmarkEnd w:id="1"/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б) фізичні особи - підприємці, які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провадять діяльність виключно в межах фермерського господарства, зареєстрованого відповідно до </w:t>
            </w:r>
            <w:hyperlink r:id="rId9" w:tgtFrame="_blank" w:history="1">
              <w:r w:rsidRPr="0096371B">
                <w:rPr>
                  <w:rFonts w:ascii="Times New Roman" w:hAnsi="Times New Roman" w:cs="Times New Roman"/>
                  <w:sz w:val="25"/>
                  <w:szCs w:val="25"/>
                  <w:lang w:eastAsia="en-US"/>
                </w:rPr>
                <w:t>Закону України</w:t>
              </w:r>
            </w:hyperlink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 "Про фермерське господарство", за умови виконання сукупності таких вимог: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…….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bookmarkStart w:id="2" w:name="n15150"/>
            <w:bookmarkStart w:id="3" w:name="n15154"/>
            <w:bookmarkEnd w:id="2"/>
            <w:bookmarkEnd w:id="3"/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площа сільськогосподарських угідь та/або земель водного фонду у власності та/або користуванні членів фермерського господарства становить 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не менше двох гектарів, але не більше 20 гектарів</w:t>
            </w:r>
            <w:bookmarkStart w:id="4" w:name="n11968"/>
            <w:bookmarkEnd w:id="4"/>
          </w:p>
        </w:tc>
        <w:tc>
          <w:tcPr>
            <w:tcW w:w="5812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lastRenderedPageBreak/>
              <w:t>п.291.4 До  четвертої групи належать - сільськогосподарські товаровиробники: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б) фізичні особи - підприємці, які провадять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діяльність виключно в межах фермерського господарства, зареєстрованого відповідно до </w:t>
            </w:r>
            <w:hyperlink r:id="rId10" w:tgtFrame="_blank" w:history="1">
              <w:r w:rsidRPr="0096371B">
                <w:rPr>
                  <w:rFonts w:ascii="Times New Roman" w:hAnsi="Times New Roman" w:cs="Times New Roman"/>
                  <w:sz w:val="25"/>
                  <w:szCs w:val="25"/>
                  <w:lang w:eastAsia="en-US"/>
                </w:rPr>
                <w:t>Закону України</w:t>
              </w:r>
            </w:hyperlink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 "Про фермерське господарство", за умови виконання сукупності таких вимог: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…….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"площа сільськогосподарських угідь та/або земель водного фонду у власності та/або користуванні членів фермерського господарства становить 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не менше 0,5 гектара, але не більше 20 гектарів сукупно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фізичних осіб – підприємців платників єдиного податку 4 групи </w:t>
            </w: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змінено одну з умов застосування спрощеної системи оподаткування, зокрема, площа сільськогосподарських угідь становить </w:t>
            </w: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 менше 0,5 гектара, але не більше 20 гектарів сукупно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lastRenderedPageBreak/>
              <w:t>п.291.5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vertAlign w:val="superscript"/>
                <w:lang w:eastAsia="en-US"/>
              </w:rPr>
              <w:t>1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Не можуть бути платниками єдиного податку четвертої групи: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bookmarkStart w:id="5" w:name="n11988"/>
            <w:bookmarkEnd w:id="5"/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Редакція відсутня</w:t>
            </w:r>
          </w:p>
        </w:tc>
        <w:tc>
          <w:tcPr>
            <w:tcW w:w="5812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п.291.5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vertAlign w:val="superscript"/>
                <w:lang w:eastAsia="en-US"/>
              </w:rPr>
              <w:t>1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Не можуть бути платниками єдиного податку четвертої групи:</w:t>
            </w:r>
          </w:p>
          <w:p w:rsidR="006C08D4" w:rsidRPr="0096371B" w:rsidRDefault="006C08D4" w:rsidP="0096371B">
            <w:pPr>
              <w:spacing w:after="0" w:line="240" w:lineRule="auto"/>
              <w:ind w:firstLine="212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суб’єкти господарювання, діяльність яких згідно з </w:t>
            </w:r>
            <w:hyperlink r:id="rId11" w:tgtFrame="_blank" w:history="1">
              <w:r w:rsidRPr="0096371B">
                <w:rPr>
                  <w:rFonts w:ascii="Times New Roman" w:hAnsi="Times New Roman" w:cs="Times New Roman"/>
                  <w:sz w:val="25"/>
                  <w:szCs w:val="25"/>
                  <w:lang w:eastAsia="en-US"/>
                </w:rPr>
                <w:t>КВЕД-2010</w:t>
              </w:r>
            </w:hyperlink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 відноситься до класів 01.47 (розведення свійської птиці), 01.49 (в частині розведення та вирощування перепелів і страусів) та 10.12 (виробництво м’яса свійської птиці)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 1 січня 2022 року не можуть бути платниками єдиного податку 4  групи 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суб’єкти господарювання, які здійснюють розведення свійської птиці,  розведення та вирощування перепелів і страусів, виробництво м’яса свійської птиці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п.293.9.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становить (у відсотках бази оподаткування):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……………….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Редакція відсутня</w:t>
            </w:r>
          </w:p>
        </w:tc>
        <w:tc>
          <w:tcPr>
            <w:tcW w:w="5812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п.293.9.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становить (у відсотках бази оподаткування):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293.9.7.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для сільськогосподарських угідь, на яких розташовані будівлі, споруди сільськогосподарських товаровиробників (юридичних та фізичних осіб), віднесені до підкласу "Будівлі для птахівництва" (код 1271.2) Державного класифікатора будівель та споруд </w:t>
            </w:r>
            <w:hyperlink r:id="rId12" w:tgtFrame="_blank" w:history="1">
              <w:r w:rsidRPr="0096371B">
                <w:rPr>
                  <w:rFonts w:ascii="Times New Roman" w:hAnsi="Times New Roman" w:cs="Times New Roman"/>
                  <w:sz w:val="25"/>
                  <w:szCs w:val="25"/>
                  <w:lang w:eastAsia="en-US"/>
                </w:rPr>
                <w:t>ДК 018-2000</w:t>
              </w:r>
            </w:hyperlink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, або для сільськогосподарських угідь, які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використовуються для обслуговування таких будівель, споруд, з урахуванням даних Державного земельного кадастру, - 50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 сільськогосподарських угідь, на яких розташовані будівлі, споруди, , віднесені до підкласу "Будівлі для птахівництва або для сільськогосподарських угідь, які використовуються для обслуговування таких будівель, споруд встановлена ставка єдиного податку  50 % бази оподаткування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296.1. Фізичні особи - підприємці - платники єдиного податку першої і другої груп та платники єдиного податку третьої групи, які не є платниками податку на додану вартість, ведуть облік у довільній формі шляхом помісячного відображення отриманих доходів.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bookmarkStart w:id="6" w:name="n18200"/>
            <w:bookmarkEnd w:id="6"/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Фізичні особи - підприємці - платники єдиного податку третьої групи, які є платниками податку на додану вартість, ведуть облік у довільній формі шляхом помісячного відображення доходів та витрат.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bookmarkStart w:id="7" w:name="n18201"/>
            <w:bookmarkEnd w:id="7"/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Облік доходів та витрат може вестися в паперовому та/або електронному вигляді.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</w:p>
        </w:tc>
        <w:tc>
          <w:tcPr>
            <w:tcW w:w="5812" w:type="dxa"/>
          </w:tcPr>
          <w:p w:rsidR="006C08D4" w:rsidRPr="0096371B" w:rsidRDefault="006C08D4" w:rsidP="0096371B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296.1. Фізичні особи - підприємці - платники єдиного податку першої і другої груп та платники єдиного податку третьої групи, які не є платниками податку на додану вартість, ведуть облік у довільній формі шляхом помісячного відображення отриманих доходів.</w:t>
            </w:r>
          </w:p>
          <w:p w:rsidR="006C08D4" w:rsidRPr="0096371B" w:rsidRDefault="006C08D4" w:rsidP="0096371B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Платники єдиного податку третьої групи (фізичні особи - підприємці), які є платниками податку на додану вартість, ведуть облік доходів і витрат за типовою формою та в порядку, що встановлені центральним органом виконавчої влади, що забезпечує формування та реалізує державну фінансову політику.</w:t>
            </w:r>
          </w:p>
          <w:p w:rsidR="006C08D4" w:rsidRPr="0096371B" w:rsidRDefault="006C08D4" w:rsidP="0096371B">
            <w:pPr>
              <w:spacing w:after="0" w:line="240" w:lineRule="auto"/>
              <w:ind w:firstLine="212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При цьому фізичні особи - підприємці - платники єдиного податку третьої групи ведуть облік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діяльності.</w:t>
            </w:r>
          </w:p>
          <w:p w:rsidR="006C08D4" w:rsidRPr="0096371B" w:rsidRDefault="006C08D4" w:rsidP="0096371B">
            <w:pPr>
              <w:spacing w:after="0" w:line="240" w:lineRule="auto"/>
              <w:ind w:firstLine="212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Облік доходів та витрат може вестися в паперовому та/або електронному вигляді, 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у тому числі через електронний кабінет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 1 січня 2022 року фізичні особи – підприємці 3 групи, які є платниками ПДВ,зобов’язані вести облік доходів і витрат.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обліку буде встановлена Міністерством фінансів України.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Облік доходів і витрат від виробництва та реалізації власної сільськогосподарської продукції ведеться окремо від обліку доходів і витрат від здійснення інших видів підприємницької діяльності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п.297.1. Платники єдиного податку звільняються від обов'язку нарахування, сплати та подання податкової звітності з таких податків і зборів: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bookmarkStart w:id="8" w:name="n7202"/>
            <w:bookmarkStart w:id="9" w:name="n7204"/>
            <w:bookmarkStart w:id="10" w:name="n7206"/>
            <w:bookmarkEnd w:id="8"/>
            <w:bookmarkEnd w:id="9"/>
            <w:bookmarkEnd w:id="10"/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4) податку на майно в частині земельного податку за земельні ділянки, що використовуються платниками єдиного податку першої - третьої груп для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провадження господарської діяльності (крім діяльності з надання земельних ділянок та/або нерухомого майна, що знаходиться на таких земельних ділянках, в оренду (найм, позичку) та платниками єдиного податку четвертої групи для ведення сільськогосподарського товаровиробництва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</w:p>
        </w:tc>
        <w:tc>
          <w:tcPr>
            <w:tcW w:w="5812" w:type="dxa"/>
          </w:tcPr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lastRenderedPageBreak/>
              <w:t>п.297.1. Платники єдиного податку звільняються від обов'язку нарахування, сплати та подання податкової звітності з таких податків і зборів: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4) податку на майно в частині земельного податку за земельні ділянки, що використовуються платниками єдиного податку першої - третьої груп для провадження господарської діяльності (крім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 xml:space="preserve">діяльності з надання земельних ділянок та/або нерухомого майна, що знаходиться на таких земельних ділянках, в оренду (найм), позичку, </w:t>
            </w: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на іншому праві користування)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та платниками єдиного податку четвертої групи для ведення сільськогосподарського товаровиробництва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Платники єдиного податку звільняються від сплати земельного податку, якщо ними не здійснюється діяльність і з надання земельних ділянок та/або нерухомого майна, що </w:t>
            </w: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знаходиться на таких земельних ділянках, в оренду (найм), позичку, </w:t>
            </w: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іншому праві користування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lastRenderedPageBreak/>
              <w:t>Підрозділ 8. Особливості справляння єдиного податку та фіксованого податку, розділу ХХ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5. Установити, що індекс споживчих цін за 2015 та 2017-2023 роки, що використовується для визначення величини коефіцієнта індексації нормативної грошової оцінки сільськогосподарських угідь (ріллі, сіножатей, пасовищ і багаторічних насаджень) та/або земель водного фонду (внутрішніх водойм, озер, ставків, водосховищ) для цілей оподаткування єдиним податком четвертої групи, застосовується із значенням 100 відсотків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</w:p>
        </w:tc>
        <w:tc>
          <w:tcPr>
            <w:tcW w:w="5812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Підрозділ 8. Особливості справляння єдиного податку та фіксованого податку, розділу ХХ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5. Установити, що індекс споживчих цін для цілей оподаткування єдиним податком четвертої групи застосовується із значенням 100 відсотків: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для визначення коефіцієнта індексації нормативної грошової оцінки сільськогосподарських угідь (ріллі, сіножатей, пасовищ і багаторічних насаджень) за 2015 та 2017-2022 роки;</w:t>
            </w:r>
          </w:p>
          <w:p w:rsidR="006C08D4" w:rsidRPr="0096371B" w:rsidRDefault="006C08D4" w:rsidP="0096371B">
            <w:pPr>
              <w:spacing w:after="0" w:line="240" w:lineRule="auto"/>
              <w:ind w:firstLine="567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для визначення коефіцієнта індексації нормативної грошової оцінки земель водного фонду (внутрішніх водойм, озер, ставків, водосховищ) за 2015 та 2017-2020 роки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Уточнено встановлення індексу споживчих цін для цілей оподаткування єдиним податком четвертої групи</w:t>
            </w: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Підрозділ 8. Особливості справляння єдиного податку та фіксованого податку, розділу ХХ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Редакція відсутня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</w:p>
        </w:tc>
        <w:tc>
          <w:tcPr>
            <w:tcW w:w="5812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Підрозділ 8. Особливості справляння єдиного податку та фіксованого податку, розділу ХХ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6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vertAlign w:val="superscript"/>
                <w:lang w:eastAsia="en-US"/>
              </w:rPr>
              <w:t>1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До складу доходу платника єдиного податку першої - третьої груп не включаються суми доходів, отриманих платником податку у вигляді часткової або повної компенсації відсоткових (процентних) ставок, яка виплачується в рамках бюджетної програми "Забезпечення функціонування Фонду розвитку підприємництва" </w:t>
            </w: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та державної програми впровадження фінансово-кредитних механізмів забезпечення громадян житлом на умовах, визначених Кабінетом Міністрів України, а також суми коштів, отриманих платником податку на безповоротній основі від Фонду розвитку інновацій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 доходу платника єдиного податку 1-3  груп не включаються суми доходів, отриманих платником податку у вигляді часткової або повної компенсації відсоткових (процентних) ставок, яка виплачується в рамках </w:t>
            </w: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бюджетної програми "Забезпечення функціонування Фонду розвитку підприємництва" 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</w:p>
        </w:tc>
      </w:tr>
      <w:tr w:rsidR="006C08D4" w:rsidTr="0096371B">
        <w:tc>
          <w:tcPr>
            <w:tcW w:w="4928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lastRenderedPageBreak/>
              <w:t>Підрозділ 8. Особливості справляння єдиного податку та фіксованого податку, розділу ХХ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Редакція відсутня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</w:p>
        </w:tc>
        <w:tc>
          <w:tcPr>
            <w:tcW w:w="5812" w:type="dxa"/>
          </w:tcPr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Підрозділ 8. Особливості справляння єдиного податку та фіксованого податку, розділу ХХ</w:t>
            </w:r>
          </w:p>
          <w:p w:rsidR="006C08D4" w:rsidRPr="0096371B" w:rsidRDefault="006C08D4" w:rsidP="0096371B">
            <w:pPr>
              <w:spacing w:after="0" w:line="240" w:lineRule="auto"/>
              <w:ind w:firstLine="284"/>
              <w:jc w:val="both"/>
              <w:rPr>
                <w:rFonts w:ascii="Cambria" w:hAnsi="Cambria" w:cs="Times New Roman"/>
                <w:sz w:val="25"/>
                <w:szCs w:val="25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8. Установити, що у частині регулювання платників єдиного податку четвертої групи підпункт 4 пункту 291.4, підпункти 291.4.3-291.4.7 пункту 291.4, пункт 291.5-1 статті 291, стаття 292-1, пункт 293.9 статті 293, пункт 294.1 статті 294, абзац другий пункту 294.4 статті 294, пункт 295.9 статті 295, підпункт 2 пункту 297.1 статті 297, підпункти 3 і 4 пункту 297.1 статті 297, підпункт 5 пункту 297.1 статті 297, пункт 297.4 статті 297, пункти 298.8 та 298.9 статті 298, підпункти 4 і 5 пункту 299.10 статті 299, абзац другий пункту 299.11 статті 299 діють тимчасово та втрачають чинність з 1 січня року, наступного за роком набрання чинності законом України щодо стимулювання розвитку агропромислового комплексу України з урахуванням Спільної сільськогосподарської політики Європейського Союзу у розрізі надання державної допомоги і розвитку сільських територій</w:t>
            </w:r>
          </w:p>
        </w:tc>
        <w:tc>
          <w:tcPr>
            <w:tcW w:w="49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Застосування сільськогосподарськими виробниками спрощеної системи за 4 групою встановлено до 1 січня року, наступного за роком набрання чинності законом України щодо стимулювання розвитку агропромислового комплексу України з урахуванням Спільної сільськогосподарської політики Європейського Союзу у розрізі надання державної допомоги і розвитку сільських територій</w:t>
            </w:r>
          </w:p>
        </w:tc>
      </w:tr>
      <w:tr w:rsidR="006C08D4" w:rsidTr="0096371B">
        <w:tc>
          <w:tcPr>
            <w:tcW w:w="15701" w:type="dxa"/>
            <w:gridSpan w:val="3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Довідково:</w:t>
            </w: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Особливості визначення загального мінімального податкового зобов’язання платників єдиного податку у розділі «Особливості визначення загального мінімального податкового зобов’язання»</w:t>
            </w:r>
          </w:p>
        </w:tc>
      </w:tr>
    </w:tbl>
    <w:p w:rsidR="006C08D4" w:rsidRDefault="006C08D4" w:rsidP="002E6F6A">
      <w:pPr>
        <w:tabs>
          <w:tab w:val="left" w:pos="13203"/>
        </w:tabs>
      </w:pPr>
      <w:bookmarkStart w:id="11" w:name="n665"/>
      <w:bookmarkEnd w:id="11"/>
    </w:p>
    <w:p w:rsidR="006C08D4" w:rsidRDefault="006C08D4" w:rsidP="002E6F6A">
      <w:pPr>
        <w:tabs>
          <w:tab w:val="left" w:pos="13203"/>
        </w:tabs>
      </w:pPr>
    </w:p>
    <w:p w:rsidR="006C08D4" w:rsidRDefault="006C08D4" w:rsidP="002E6F6A">
      <w:pPr>
        <w:tabs>
          <w:tab w:val="left" w:pos="13203"/>
        </w:tabs>
      </w:pPr>
    </w:p>
    <w:p w:rsidR="006C08D4" w:rsidRDefault="006C08D4" w:rsidP="002E6F6A">
      <w:pPr>
        <w:tabs>
          <w:tab w:val="left" w:pos="132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5"/>
        <w:gridCol w:w="5990"/>
        <w:gridCol w:w="4361"/>
      </w:tblGrid>
      <w:tr w:rsidR="006C08D4" w:rsidTr="0096371B">
        <w:tc>
          <w:tcPr>
            <w:tcW w:w="15526" w:type="dxa"/>
            <w:gridSpan w:val="3"/>
            <w:vAlign w:val="center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система оподаткування, обліку та звітності для фізичних осіб  - підприємців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Cambria" w:hAnsi="Cambria" w:cs="Times New Roman"/>
                <w:lang w:eastAsia="en-US"/>
              </w:rPr>
            </w:pPr>
          </w:p>
        </w:tc>
      </w:tr>
      <w:tr w:rsidR="006C08D4" w:rsidTr="0096371B">
        <w:tc>
          <w:tcPr>
            <w:tcW w:w="5175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редакція норм ПКУ до змін, внесених Законом України від 30.11.2021  №1914-XI</w:t>
            </w:r>
          </w:p>
        </w:tc>
        <w:tc>
          <w:tcPr>
            <w:tcW w:w="5990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редакція норм ПКУ із змінами, внесеними Законом України від 30.11.2021  №1914-XI</w:t>
            </w:r>
          </w:p>
        </w:tc>
        <w:tc>
          <w:tcPr>
            <w:tcW w:w="43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Набрання чинності,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</w:rPr>
              <w:t>коментар</w:t>
            </w:r>
          </w:p>
        </w:tc>
      </w:tr>
      <w:tr w:rsidR="006C08D4" w:rsidTr="0096371B">
        <w:tc>
          <w:tcPr>
            <w:tcW w:w="5175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177.4. До переліку витрат, безпосередньо пов’язаних з отриманням доходів, належать: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2" w:name="n11243"/>
            <w:bookmarkStart w:id="13" w:name="n11244"/>
            <w:bookmarkStart w:id="14" w:name="n11246"/>
            <w:bookmarkEnd w:id="12"/>
            <w:bookmarkEnd w:id="13"/>
            <w:bookmarkEnd w:id="14"/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177.4.3. суми податків, зборів, пов’язаних з проведенням господарської діяльності такої фізичної особи - підприємця (крім податку на додану вартість для фізичної особи - підприємця, зареєстрованого як платник податку на додану вартість, та акцизного податку, податку на доходи фізичних осіб з доходу від господарської діяльності, податку на нерухоме майно, відмінне від земельної ділянки, з об’єктів житлової нерухомості); суми єдиного внеску на загальнообов’язкове державне соціальне страхування у розмірах і порядку, встановлених законом; платежі, сплачені за одержання ліцензій на провадження певних видів господарської діяльності фізичною особою - підприємцем, одержання дозволу, іншого документа дозвільного характеру, пов’язаних з господарською діяльністю фізичної особи – підприємця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990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177.4. До переліку витрат, безпосередньо пов’язаних з отриманням доходів, належать: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177.4.3. суми податків, зборів, пов’язаних з проведенням господарської діяльності такої фізичної особи - підприємця (крім податку на додану вартість для фізичної особи - підприємця, зареєстрованого як платник податку на додану вартість, та акцизного податку, податку на доходи фізичних осіб з доходу від господарської діяльності, податку на нерухоме майно, відмінне від земельної ділянки, з об’єктів житлової нерухомості); суми єдиного внеску на загальнообов’язкове державне соціальне страхування у розмірах і порядку, встановлених законом; платежі, сплачені за одержання ліцензій на провадження певних видів господарської діяльності фізичною особою - підприємцем, </w:t>
            </w:r>
            <w:r w:rsidRPr="0096371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роялті на користь правовласників, як винагорода за використання об’єктів авторського права і (або) суміжних прав чи як відрахування на користь правовласників на підставі договорів, укладених таким платником податку з організаціями колективного управління відповідно до </w:t>
            </w:r>
            <w:hyperlink r:id="rId13" w:tgtFrame="_blank" w:history="1">
              <w:r w:rsidRPr="0096371B">
                <w:rPr>
                  <w:rFonts w:ascii="Times New Roman" w:hAnsi="Times New Roman" w:cs="Times New Roman"/>
                  <w:b/>
                  <w:sz w:val="26"/>
                  <w:szCs w:val="26"/>
                  <w:lang w:eastAsia="en-US"/>
                </w:rPr>
                <w:t>Закону України</w:t>
              </w:r>
            </w:hyperlink>
            <w:r w:rsidRPr="0096371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 "Про ефективне управління майновими правами правовласників у сфері авторського права і </w:t>
            </w:r>
            <w:r w:rsidRPr="0096371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(або) суміжних прав", </w:t>
            </w: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одержання дозволу, іншого документа дозвільного характеру, пов’язаних з господарською діяльністю фізичної особи – підприємця</w:t>
            </w:r>
          </w:p>
        </w:tc>
        <w:tc>
          <w:tcPr>
            <w:tcW w:w="43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витрат фізичної особи – підприємця з 1 січня 2022 року належать роялті на користь правовласників, як винагорода за використання об’єктів авторського права і (або) суміжних прав чи як відрахування на користь правовласників на підставі договорів, укладених таким платником податку з організаціями колективного управління відповідно до </w:t>
            </w:r>
            <w:hyperlink r:id="rId14" w:tgtFrame="_blank" w:history="1">
              <w:r w:rsidRPr="0096371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Закону України</w:t>
              </w:r>
            </w:hyperlink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"Про ефективне управління майновими правами правовласників у сфері авторського права і (або) суміжних прав"</w:t>
            </w:r>
          </w:p>
        </w:tc>
      </w:tr>
      <w:tr w:rsidR="006C08D4" w:rsidTr="0096371B">
        <w:tc>
          <w:tcPr>
            <w:tcW w:w="5175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п.177.10.</w:t>
            </w: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Фізичні особи - підприємці зобов’язані вести облік доходів і витрат та мати підтверджуючі документи щодо походження товару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Редакція відсутня</w:t>
            </w:r>
          </w:p>
        </w:tc>
        <w:tc>
          <w:tcPr>
            <w:tcW w:w="5990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п.177.10.</w:t>
            </w: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Фізичні особи - підприємці зобов’язані вести облік доходів і витрат та мати підтверджуючі документи щодо походження товару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sz w:val="26"/>
                <w:szCs w:val="26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Облік доходів і витрат від виробництва та реалізації власної сільськогосподарської продукції ведеться окремо від обліку доходів і витрат від здійснення інших видів господарської діяльності</w:t>
            </w:r>
          </w:p>
        </w:tc>
        <w:tc>
          <w:tcPr>
            <w:tcW w:w="4361" w:type="dxa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Набирає чинності з 1 січня 2022 року</w:t>
            </w:r>
          </w:p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jc w:val="both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Облік доходів і витрат від виробництва та реалізації власної сільськогосподарської продукції ведеться окремо від обліку доходів і витрат від здійснення інших видів господарської діяльності</w:t>
            </w:r>
          </w:p>
        </w:tc>
      </w:tr>
      <w:tr w:rsidR="006C08D4" w:rsidTr="0096371B">
        <w:tc>
          <w:tcPr>
            <w:tcW w:w="15526" w:type="dxa"/>
            <w:gridSpan w:val="3"/>
          </w:tcPr>
          <w:p w:rsidR="006C08D4" w:rsidRPr="0096371B" w:rsidRDefault="006C08D4" w:rsidP="0096371B">
            <w:pPr>
              <w:tabs>
                <w:tab w:val="left" w:pos="13203"/>
              </w:tabs>
              <w:spacing w:after="0" w:line="240" w:lineRule="auto"/>
              <w:rPr>
                <w:rFonts w:ascii="Cambria" w:hAnsi="Cambria" w:cs="Times New Roman"/>
                <w:lang w:eastAsia="en-US"/>
              </w:rPr>
            </w:pPr>
            <w:r w:rsidRPr="00963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Довідково:</w:t>
            </w:r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Особливості визначення загального мінімального податкового зобов’язання платників єдиного податку у розділі «Особливості визначення загального мінімального подат</w:t>
            </w:r>
            <w:bookmarkStart w:id="15" w:name="_GoBack"/>
            <w:bookmarkEnd w:id="15"/>
            <w:r w:rsidRPr="0096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кового зобов’язання»</w:t>
            </w:r>
          </w:p>
        </w:tc>
      </w:tr>
    </w:tbl>
    <w:p w:rsidR="006C08D4" w:rsidRDefault="006C08D4" w:rsidP="002E6F6A">
      <w:pPr>
        <w:tabs>
          <w:tab w:val="left" w:pos="13203"/>
        </w:tabs>
      </w:pPr>
    </w:p>
    <w:p w:rsidR="006C08D4" w:rsidRDefault="006C08D4" w:rsidP="002E6F6A">
      <w:pPr>
        <w:tabs>
          <w:tab w:val="left" w:pos="13203"/>
        </w:tabs>
      </w:pPr>
    </w:p>
    <w:p w:rsidR="006C08D4" w:rsidRDefault="006C08D4"/>
    <w:p w:rsidR="006C08D4" w:rsidRDefault="006C08D4"/>
    <w:p w:rsidR="006C08D4" w:rsidRPr="00946C36" w:rsidRDefault="006C08D4" w:rsidP="0081266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08D4" w:rsidRPr="00946C36" w:rsidSect="00555C69">
      <w:headerReference w:type="default" r:id="rId15"/>
      <w:footerReference w:type="default" r:id="rId16"/>
      <w:footerReference w:type="first" r:id="rId17"/>
      <w:pgSz w:w="16840" w:h="11907" w:orient="landscape"/>
      <w:pgMar w:top="16" w:right="680" w:bottom="567" w:left="850" w:header="709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D4" w:rsidRDefault="006C08D4">
      <w:pPr>
        <w:spacing w:after="0" w:line="240" w:lineRule="auto"/>
      </w:pPr>
      <w:r>
        <w:separator/>
      </w:r>
    </w:p>
  </w:endnote>
  <w:endnote w:type="continuationSeparator" w:id="0">
    <w:p w:rsidR="006C08D4" w:rsidRDefault="006C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D4" w:rsidRDefault="004C730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C08D4" w:rsidRDefault="006C08D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D4" w:rsidRDefault="004C730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8D4">
      <w:rPr>
        <w:noProof/>
      </w:rPr>
      <w:t>1</w:t>
    </w:r>
    <w:r>
      <w:rPr>
        <w:noProof/>
      </w:rPr>
      <w:fldChar w:fldCharType="end"/>
    </w:r>
  </w:p>
  <w:p w:rsidR="006C08D4" w:rsidRDefault="006C08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D4" w:rsidRDefault="006C08D4">
      <w:pPr>
        <w:spacing w:after="0" w:line="240" w:lineRule="auto"/>
      </w:pPr>
      <w:r>
        <w:separator/>
      </w:r>
    </w:p>
  </w:footnote>
  <w:footnote w:type="continuationSeparator" w:id="0">
    <w:p w:rsidR="006C08D4" w:rsidRDefault="006C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D4" w:rsidRDefault="006C08D4">
    <w:pPr>
      <w:pStyle w:val="ac"/>
    </w:pPr>
  </w:p>
  <w:p w:rsidR="006C08D4" w:rsidRDefault="006C08D4">
    <w:pPr>
      <w:tabs>
        <w:tab w:val="center" w:pos="4819"/>
        <w:tab w:val="right" w:pos="9639"/>
      </w:tabs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337"/>
    <w:multiLevelType w:val="multilevel"/>
    <w:tmpl w:val="7798A6CE"/>
    <w:lvl w:ilvl="0">
      <w:start w:val="1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86" w:hanging="3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0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46" w:hanging="3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8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06" w:hanging="3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2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7A945F4"/>
    <w:multiLevelType w:val="hybridMultilevel"/>
    <w:tmpl w:val="DA44E6C8"/>
    <w:lvl w:ilvl="0" w:tplc="AE50D46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EE5D7B"/>
    <w:multiLevelType w:val="multilevel"/>
    <w:tmpl w:val="22265928"/>
    <w:lvl w:ilvl="0">
      <w:start w:val="1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86" w:hanging="3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0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546" w:hanging="3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8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06" w:hanging="3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26" w:hanging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72"/>
    <w:rsid w:val="000049B3"/>
    <w:rsid w:val="000110B5"/>
    <w:rsid w:val="00011A0C"/>
    <w:rsid w:val="00011C28"/>
    <w:rsid w:val="0001216E"/>
    <w:rsid w:val="00025BD5"/>
    <w:rsid w:val="00032A04"/>
    <w:rsid w:val="00036A3A"/>
    <w:rsid w:val="000426CD"/>
    <w:rsid w:val="00051303"/>
    <w:rsid w:val="000520E0"/>
    <w:rsid w:val="00053C44"/>
    <w:rsid w:val="000557B7"/>
    <w:rsid w:val="00056529"/>
    <w:rsid w:val="0006034B"/>
    <w:rsid w:val="0006065E"/>
    <w:rsid w:val="00064015"/>
    <w:rsid w:val="00064560"/>
    <w:rsid w:val="00065C4F"/>
    <w:rsid w:val="00067EB9"/>
    <w:rsid w:val="00086BCD"/>
    <w:rsid w:val="00092616"/>
    <w:rsid w:val="000931D9"/>
    <w:rsid w:val="000A0C1A"/>
    <w:rsid w:val="000A2805"/>
    <w:rsid w:val="000B0D55"/>
    <w:rsid w:val="000B558E"/>
    <w:rsid w:val="000C287D"/>
    <w:rsid w:val="000F31D3"/>
    <w:rsid w:val="000F5C84"/>
    <w:rsid w:val="0010029D"/>
    <w:rsid w:val="00110E97"/>
    <w:rsid w:val="001129CE"/>
    <w:rsid w:val="001252E9"/>
    <w:rsid w:val="001255FC"/>
    <w:rsid w:val="00127335"/>
    <w:rsid w:val="00136014"/>
    <w:rsid w:val="001407DD"/>
    <w:rsid w:val="00140CC9"/>
    <w:rsid w:val="00140D2A"/>
    <w:rsid w:val="001427BE"/>
    <w:rsid w:val="00145396"/>
    <w:rsid w:val="001464DD"/>
    <w:rsid w:val="00154A2A"/>
    <w:rsid w:val="001550CF"/>
    <w:rsid w:val="00155A5F"/>
    <w:rsid w:val="001602D1"/>
    <w:rsid w:val="00160939"/>
    <w:rsid w:val="001624A2"/>
    <w:rsid w:val="00170876"/>
    <w:rsid w:val="00170F72"/>
    <w:rsid w:val="00172D33"/>
    <w:rsid w:val="00177BB9"/>
    <w:rsid w:val="00181510"/>
    <w:rsid w:val="001815FD"/>
    <w:rsid w:val="0018212B"/>
    <w:rsid w:val="001853D1"/>
    <w:rsid w:val="00195849"/>
    <w:rsid w:val="001A1E4A"/>
    <w:rsid w:val="001A66E9"/>
    <w:rsid w:val="001B0D40"/>
    <w:rsid w:val="001B11C0"/>
    <w:rsid w:val="001B4174"/>
    <w:rsid w:val="001C0218"/>
    <w:rsid w:val="001C3354"/>
    <w:rsid w:val="001D37AF"/>
    <w:rsid w:val="001D7710"/>
    <w:rsid w:val="001E099F"/>
    <w:rsid w:val="001E56C9"/>
    <w:rsid w:val="001E5D6C"/>
    <w:rsid w:val="001E69C5"/>
    <w:rsid w:val="001E751B"/>
    <w:rsid w:val="001F04C0"/>
    <w:rsid w:val="00201C01"/>
    <w:rsid w:val="00203BD7"/>
    <w:rsid w:val="002065C8"/>
    <w:rsid w:val="00210545"/>
    <w:rsid w:val="002114D5"/>
    <w:rsid w:val="002122D6"/>
    <w:rsid w:val="002136A4"/>
    <w:rsid w:val="00222990"/>
    <w:rsid w:val="002235B4"/>
    <w:rsid w:val="00224B39"/>
    <w:rsid w:val="0022562D"/>
    <w:rsid w:val="00230A4F"/>
    <w:rsid w:val="00237C82"/>
    <w:rsid w:val="0024006C"/>
    <w:rsid w:val="002414E9"/>
    <w:rsid w:val="0024554F"/>
    <w:rsid w:val="00246B8B"/>
    <w:rsid w:val="00252444"/>
    <w:rsid w:val="00260E3C"/>
    <w:rsid w:val="002653CA"/>
    <w:rsid w:val="00272FBE"/>
    <w:rsid w:val="00273199"/>
    <w:rsid w:val="0027324E"/>
    <w:rsid w:val="00273B0B"/>
    <w:rsid w:val="00275035"/>
    <w:rsid w:val="00275BD1"/>
    <w:rsid w:val="00286C7E"/>
    <w:rsid w:val="0028723B"/>
    <w:rsid w:val="00293BA8"/>
    <w:rsid w:val="002A2FDA"/>
    <w:rsid w:val="002A3D4F"/>
    <w:rsid w:val="002B1DCE"/>
    <w:rsid w:val="002B364A"/>
    <w:rsid w:val="002B38A6"/>
    <w:rsid w:val="002B3DF3"/>
    <w:rsid w:val="002B6C04"/>
    <w:rsid w:val="002C4CDB"/>
    <w:rsid w:val="002C5DFE"/>
    <w:rsid w:val="002D0CF5"/>
    <w:rsid w:val="002D3BF3"/>
    <w:rsid w:val="002D3E52"/>
    <w:rsid w:val="002D6CA1"/>
    <w:rsid w:val="002E089E"/>
    <w:rsid w:val="002E4AF5"/>
    <w:rsid w:val="002E6DA0"/>
    <w:rsid w:val="002E6F6A"/>
    <w:rsid w:val="002F16DA"/>
    <w:rsid w:val="00312CDA"/>
    <w:rsid w:val="003132A1"/>
    <w:rsid w:val="003147FA"/>
    <w:rsid w:val="00314FFC"/>
    <w:rsid w:val="00316C3E"/>
    <w:rsid w:val="00325303"/>
    <w:rsid w:val="00326F82"/>
    <w:rsid w:val="003300EF"/>
    <w:rsid w:val="00356EF9"/>
    <w:rsid w:val="0035732A"/>
    <w:rsid w:val="0036244E"/>
    <w:rsid w:val="00363431"/>
    <w:rsid w:val="00366919"/>
    <w:rsid w:val="00367526"/>
    <w:rsid w:val="00370AF4"/>
    <w:rsid w:val="00375A81"/>
    <w:rsid w:val="00376FD2"/>
    <w:rsid w:val="00381C5F"/>
    <w:rsid w:val="00381D90"/>
    <w:rsid w:val="003863F3"/>
    <w:rsid w:val="00392B70"/>
    <w:rsid w:val="0039770D"/>
    <w:rsid w:val="00397D6B"/>
    <w:rsid w:val="003A0F27"/>
    <w:rsid w:val="003A18C3"/>
    <w:rsid w:val="003A1A7C"/>
    <w:rsid w:val="003A24CA"/>
    <w:rsid w:val="003A5E74"/>
    <w:rsid w:val="003B0F0B"/>
    <w:rsid w:val="003B1B7B"/>
    <w:rsid w:val="003B2FE6"/>
    <w:rsid w:val="003B4356"/>
    <w:rsid w:val="003C4486"/>
    <w:rsid w:val="003C4F28"/>
    <w:rsid w:val="003D1AB6"/>
    <w:rsid w:val="003D2C6A"/>
    <w:rsid w:val="003D3736"/>
    <w:rsid w:val="003E3D2D"/>
    <w:rsid w:val="003F302E"/>
    <w:rsid w:val="003F58F4"/>
    <w:rsid w:val="003F6D47"/>
    <w:rsid w:val="00402FC2"/>
    <w:rsid w:val="004057DE"/>
    <w:rsid w:val="00407D27"/>
    <w:rsid w:val="00411716"/>
    <w:rsid w:val="0041247E"/>
    <w:rsid w:val="00412A1E"/>
    <w:rsid w:val="004142C0"/>
    <w:rsid w:val="00414D57"/>
    <w:rsid w:val="00414E4F"/>
    <w:rsid w:val="00415484"/>
    <w:rsid w:val="00416498"/>
    <w:rsid w:val="00416730"/>
    <w:rsid w:val="004270A3"/>
    <w:rsid w:val="00427F91"/>
    <w:rsid w:val="0043125D"/>
    <w:rsid w:val="00442434"/>
    <w:rsid w:val="00446C5F"/>
    <w:rsid w:val="00447EDB"/>
    <w:rsid w:val="004519AA"/>
    <w:rsid w:val="004605E3"/>
    <w:rsid w:val="00471D23"/>
    <w:rsid w:val="00484DB6"/>
    <w:rsid w:val="00485E4A"/>
    <w:rsid w:val="004917E9"/>
    <w:rsid w:val="00491FE5"/>
    <w:rsid w:val="004A23F9"/>
    <w:rsid w:val="004A6873"/>
    <w:rsid w:val="004B2F19"/>
    <w:rsid w:val="004B3927"/>
    <w:rsid w:val="004B66C3"/>
    <w:rsid w:val="004C42EA"/>
    <w:rsid w:val="004C730E"/>
    <w:rsid w:val="004D089A"/>
    <w:rsid w:val="004D42F0"/>
    <w:rsid w:val="004D5B39"/>
    <w:rsid w:val="004E1299"/>
    <w:rsid w:val="004E567D"/>
    <w:rsid w:val="004F0C8F"/>
    <w:rsid w:val="004F3B77"/>
    <w:rsid w:val="0050011E"/>
    <w:rsid w:val="00500A98"/>
    <w:rsid w:val="00503345"/>
    <w:rsid w:val="00503DB8"/>
    <w:rsid w:val="005051D7"/>
    <w:rsid w:val="005073A1"/>
    <w:rsid w:val="005140C4"/>
    <w:rsid w:val="00514484"/>
    <w:rsid w:val="005153B9"/>
    <w:rsid w:val="00522D82"/>
    <w:rsid w:val="00542647"/>
    <w:rsid w:val="00544B64"/>
    <w:rsid w:val="00545B61"/>
    <w:rsid w:val="00555C69"/>
    <w:rsid w:val="00560585"/>
    <w:rsid w:val="0056183B"/>
    <w:rsid w:val="00562765"/>
    <w:rsid w:val="0056335A"/>
    <w:rsid w:val="00563913"/>
    <w:rsid w:val="0056483A"/>
    <w:rsid w:val="00571D2A"/>
    <w:rsid w:val="00574ECE"/>
    <w:rsid w:val="00581DE1"/>
    <w:rsid w:val="00583516"/>
    <w:rsid w:val="005835AD"/>
    <w:rsid w:val="005901AD"/>
    <w:rsid w:val="0059030F"/>
    <w:rsid w:val="00590ADF"/>
    <w:rsid w:val="0059300B"/>
    <w:rsid w:val="005954C3"/>
    <w:rsid w:val="005A2B98"/>
    <w:rsid w:val="005A3873"/>
    <w:rsid w:val="005A7AE5"/>
    <w:rsid w:val="005C591E"/>
    <w:rsid w:val="005C795F"/>
    <w:rsid w:val="005C7967"/>
    <w:rsid w:val="005E0F26"/>
    <w:rsid w:val="005E4E28"/>
    <w:rsid w:val="005E632D"/>
    <w:rsid w:val="005E6C33"/>
    <w:rsid w:val="005E70E1"/>
    <w:rsid w:val="005F4BDB"/>
    <w:rsid w:val="005F5201"/>
    <w:rsid w:val="005F79C7"/>
    <w:rsid w:val="00601926"/>
    <w:rsid w:val="00602E2B"/>
    <w:rsid w:val="00602F04"/>
    <w:rsid w:val="006033AD"/>
    <w:rsid w:val="00603CA8"/>
    <w:rsid w:val="00603CB7"/>
    <w:rsid w:val="00610618"/>
    <w:rsid w:val="00611D43"/>
    <w:rsid w:val="00615706"/>
    <w:rsid w:val="006277DC"/>
    <w:rsid w:val="00631BCE"/>
    <w:rsid w:val="006372B4"/>
    <w:rsid w:val="00641ED9"/>
    <w:rsid w:val="00642DBE"/>
    <w:rsid w:val="00644CD3"/>
    <w:rsid w:val="00644D40"/>
    <w:rsid w:val="006452E5"/>
    <w:rsid w:val="0065192C"/>
    <w:rsid w:val="00651B25"/>
    <w:rsid w:val="00662BE7"/>
    <w:rsid w:val="00677DB2"/>
    <w:rsid w:val="00683D20"/>
    <w:rsid w:val="006902D5"/>
    <w:rsid w:val="00692544"/>
    <w:rsid w:val="00692DBA"/>
    <w:rsid w:val="00695578"/>
    <w:rsid w:val="006A0356"/>
    <w:rsid w:val="006A0B3E"/>
    <w:rsid w:val="006A0D5A"/>
    <w:rsid w:val="006A2B3C"/>
    <w:rsid w:val="006A3A3B"/>
    <w:rsid w:val="006A7D7F"/>
    <w:rsid w:val="006B007D"/>
    <w:rsid w:val="006B0FF0"/>
    <w:rsid w:val="006B248E"/>
    <w:rsid w:val="006B55D4"/>
    <w:rsid w:val="006C08D4"/>
    <w:rsid w:val="006C0B4F"/>
    <w:rsid w:val="006C1476"/>
    <w:rsid w:val="006C23A2"/>
    <w:rsid w:val="006C70B8"/>
    <w:rsid w:val="006D1FCB"/>
    <w:rsid w:val="006D581C"/>
    <w:rsid w:val="006D5B0F"/>
    <w:rsid w:val="006F0AA5"/>
    <w:rsid w:val="006F7A39"/>
    <w:rsid w:val="0070090E"/>
    <w:rsid w:val="00710419"/>
    <w:rsid w:val="00721AEC"/>
    <w:rsid w:val="00722887"/>
    <w:rsid w:val="00724186"/>
    <w:rsid w:val="00737410"/>
    <w:rsid w:val="00744557"/>
    <w:rsid w:val="00744DD1"/>
    <w:rsid w:val="007461A0"/>
    <w:rsid w:val="00747AC3"/>
    <w:rsid w:val="0075192B"/>
    <w:rsid w:val="007521FD"/>
    <w:rsid w:val="00764356"/>
    <w:rsid w:val="00764703"/>
    <w:rsid w:val="007709DF"/>
    <w:rsid w:val="00771084"/>
    <w:rsid w:val="00775F63"/>
    <w:rsid w:val="007779B7"/>
    <w:rsid w:val="00780EF7"/>
    <w:rsid w:val="0078476C"/>
    <w:rsid w:val="00786540"/>
    <w:rsid w:val="00787B43"/>
    <w:rsid w:val="00790FD2"/>
    <w:rsid w:val="00791C3A"/>
    <w:rsid w:val="00791F41"/>
    <w:rsid w:val="007A09DC"/>
    <w:rsid w:val="007A5186"/>
    <w:rsid w:val="007A5400"/>
    <w:rsid w:val="007B03EC"/>
    <w:rsid w:val="007B18FB"/>
    <w:rsid w:val="007B3DE8"/>
    <w:rsid w:val="007B6FD3"/>
    <w:rsid w:val="007B76A4"/>
    <w:rsid w:val="007C027D"/>
    <w:rsid w:val="007C165D"/>
    <w:rsid w:val="007C29BE"/>
    <w:rsid w:val="007D0438"/>
    <w:rsid w:val="007D3C33"/>
    <w:rsid w:val="007E694A"/>
    <w:rsid w:val="007E6D58"/>
    <w:rsid w:val="007F66DD"/>
    <w:rsid w:val="0080328F"/>
    <w:rsid w:val="008041B7"/>
    <w:rsid w:val="008062AE"/>
    <w:rsid w:val="00806E40"/>
    <w:rsid w:val="008076FE"/>
    <w:rsid w:val="0081266B"/>
    <w:rsid w:val="00812C32"/>
    <w:rsid w:val="00812C79"/>
    <w:rsid w:val="0081380F"/>
    <w:rsid w:val="00821668"/>
    <w:rsid w:val="00824698"/>
    <w:rsid w:val="008275B7"/>
    <w:rsid w:val="00833A24"/>
    <w:rsid w:val="0083432B"/>
    <w:rsid w:val="008420B9"/>
    <w:rsid w:val="00843350"/>
    <w:rsid w:val="00843F88"/>
    <w:rsid w:val="00854DCF"/>
    <w:rsid w:val="00856017"/>
    <w:rsid w:val="00875525"/>
    <w:rsid w:val="0089101B"/>
    <w:rsid w:val="00893188"/>
    <w:rsid w:val="00894D66"/>
    <w:rsid w:val="00896144"/>
    <w:rsid w:val="00896555"/>
    <w:rsid w:val="0089712F"/>
    <w:rsid w:val="008A2A5A"/>
    <w:rsid w:val="008A35E4"/>
    <w:rsid w:val="008A370C"/>
    <w:rsid w:val="008A3F5B"/>
    <w:rsid w:val="008B1DC2"/>
    <w:rsid w:val="008B51B3"/>
    <w:rsid w:val="008B6C86"/>
    <w:rsid w:val="008D1837"/>
    <w:rsid w:val="008D4F5F"/>
    <w:rsid w:val="008E04DA"/>
    <w:rsid w:val="008E17D2"/>
    <w:rsid w:val="008E2F67"/>
    <w:rsid w:val="008E3D57"/>
    <w:rsid w:val="008E5D13"/>
    <w:rsid w:val="008E768B"/>
    <w:rsid w:val="008F23EE"/>
    <w:rsid w:val="008F31D2"/>
    <w:rsid w:val="008F3EC2"/>
    <w:rsid w:val="00910510"/>
    <w:rsid w:val="0091405B"/>
    <w:rsid w:val="00915E20"/>
    <w:rsid w:val="009313BE"/>
    <w:rsid w:val="009324DE"/>
    <w:rsid w:val="00933662"/>
    <w:rsid w:val="009441BF"/>
    <w:rsid w:val="009454D8"/>
    <w:rsid w:val="00946C36"/>
    <w:rsid w:val="00946FE1"/>
    <w:rsid w:val="009524A2"/>
    <w:rsid w:val="00956093"/>
    <w:rsid w:val="009602D8"/>
    <w:rsid w:val="0096245E"/>
    <w:rsid w:val="0096371B"/>
    <w:rsid w:val="0096754E"/>
    <w:rsid w:val="00970AD0"/>
    <w:rsid w:val="00981B2C"/>
    <w:rsid w:val="00985BF2"/>
    <w:rsid w:val="00985F63"/>
    <w:rsid w:val="0099024A"/>
    <w:rsid w:val="00992DB3"/>
    <w:rsid w:val="00994C3E"/>
    <w:rsid w:val="009956F2"/>
    <w:rsid w:val="009A4575"/>
    <w:rsid w:val="009A544E"/>
    <w:rsid w:val="009A57CD"/>
    <w:rsid w:val="009A6497"/>
    <w:rsid w:val="009A68AE"/>
    <w:rsid w:val="009B26A8"/>
    <w:rsid w:val="009B26E3"/>
    <w:rsid w:val="009B3A64"/>
    <w:rsid w:val="009B798E"/>
    <w:rsid w:val="009D2A87"/>
    <w:rsid w:val="009D2EA4"/>
    <w:rsid w:val="009D312F"/>
    <w:rsid w:val="009D46A5"/>
    <w:rsid w:val="009D47B5"/>
    <w:rsid w:val="009D4C5B"/>
    <w:rsid w:val="009D546B"/>
    <w:rsid w:val="009E03C1"/>
    <w:rsid w:val="009E059B"/>
    <w:rsid w:val="009E46FB"/>
    <w:rsid w:val="009E5764"/>
    <w:rsid w:val="009F45F3"/>
    <w:rsid w:val="009F63C9"/>
    <w:rsid w:val="009F6549"/>
    <w:rsid w:val="009F7B6B"/>
    <w:rsid w:val="00A02F0C"/>
    <w:rsid w:val="00A04B84"/>
    <w:rsid w:val="00A1536A"/>
    <w:rsid w:val="00A20712"/>
    <w:rsid w:val="00A216D2"/>
    <w:rsid w:val="00A26539"/>
    <w:rsid w:val="00A2672D"/>
    <w:rsid w:val="00A27F26"/>
    <w:rsid w:val="00A3174B"/>
    <w:rsid w:val="00A33851"/>
    <w:rsid w:val="00A3553F"/>
    <w:rsid w:val="00A40653"/>
    <w:rsid w:val="00A46885"/>
    <w:rsid w:val="00A545ED"/>
    <w:rsid w:val="00A60F98"/>
    <w:rsid w:val="00A6413B"/>
    <w:rsid w:val="00A67302"/>
    <w:rsid w:val="00A67E34"/>
    <w:rsid w:val="00A71F3D"/>
    <w:rsid w:val="00A72559"/>
    <w:rsid w:val="00A80B4A"/>
    <w:rsid w:val="00A863E6"/>
    <w:rsid w:val="00A91D8C"/>
    <w:rsid w:val="00A9276E"/>
    <w:rsid w:val="00AA22B7"/>
    <w:rsid w:val="00AA4DF6"/>
    <w:rsid w:val="00AA5B3B"/>
    <w:rsid w:val="00AA741D"/>
    <w:rsid w:val="00AB0563"/>
    <w:rsid w:val="00AC4AA2"/>
    <w:rsid w:val="00AD3FF2"/>
    <w:rsid w:val="00AD4A42"/>
    <w:rsid w:val="00AD4D90"/>
    <w:rsid w:val="00AE035A"/>
    <w:rsid w:val="00AE0999"/>
    <w:rsid w:val="00AE1769"/>
    <w:rsid w:val="00AE568C"/>
    <w:rsid w:val="00B00299"/>
    <w:rsid w:val="00B0032A"/>
    <w:rsid w:val="00B152AC"/>
    <w:rsid w:val="00B1692B"/>
    <w:rsid w:val="00B235BF"/>
    <w:rsid w:val="00B25AC3"/>
    <w:rsid w:val="00B31C06"/>
    <w:rsid w:val="00B32098"/>
    <w:rsid w:val="00B36143"/>
    <w:rsid w:val="00B45685"/>
    <w:rsid w:val="00B45EF4"/>
    <w:rsid w:val="00B53E57"/>
    <w:rsid w:val="00B550B7"/>
    <w:rsid w:val="00B555BD"/>
    <w:rsid w:val="00B560C2"/>
    <w:rsid w:val="00B606A0"/>
    <w:rsid w:val="00B6614B"/>
    <w:rsid w:val="00B7097F"/>
    <w:rsid w:val="00B74AD2"/>
    <w:rsid w:val="00B77250"/>
    <w:rsid w:val="00B8006C"/>
    <w:rsid w:val="00B81174"/>
    <w:rsid w:val="00B87C0D"/>
    <w:rsid w:val="00B93B23"/>
    <w:rsid w:val="00BA62A1"/>
    <w:rsid w:val="00BB0FE9"/>
    <w:rsid w:val="00BC0D5C"/>
    <w:rsid w:val="00BC443D"/>
    <w:rsid w:val="00BC5C1B"/>
    <w:rsid w:val="00BD37BE"/>
    <w:rsid w:val="00BD5C0E"/>
    <w:rsid w:val="00BD6EBA"/>
    <w:rsid w:val="00BD733D"/>
    <w:rsid w:val="00BE0153"/>
    <w:rsid w:val="00BE3517"/>
    <w:rsid w:val="00BE5A0C"/>
    <w:rsid w:val="00BE5D0E"/>
    <w:rsid w:val="00BE7D76"/>
    <w:rsid w:val="00BF38CD"/>
    <w:rsid w:val="00BF6204"/>
    <w:rsid w:val="00C0183D"/>
    <w:rsid w:val="00C10F2C"/>
    <w:rsid w:val="00C135F9"/>
    <w:rsid w:val="00C16FD8"/>
    <w:rsid w:val="00C22822"/>
    <w:rsid w:val="00C232DF"/>
    <w:rsid w:val="00C30B74"/>
    <w:rsid w:val="00C34CC8"/>
    <w:rsid w:val="00C360C5"/>
    <w:rsid w:val="00C37307"/>
    <w:rsid w:val="00C4109D"/>
    <w:rsid w:val="00C41F26"/>
    <w:rsid w:val="00C474BC"/>
    <w:rsid w:val="00C57BFF"/>
    <w:rsid w:val="00C636A4"/>
    <w:rsid w:val="00C64F47"/>
    <w:rsid w:val="00C75648"/>
    <w:rsid w:val="00C8099D"/>
    <w:rsid w:val="00C84388"/>
    <w:rsid w:val="00C8772B"/>
    <w:rsid w:val="00C93261"/>
    <w:rsid w:val="00C94760"/>
    <w:rsid w:val="00C948B0"/>
    <w:rsid w:val="00C94C70"/>
    <w:rsid w:val="00C972E4"/>
    <w:rsid w:val="00CA0F42"/>
    <w:rsid w:val="00CA175C"/>
    <w:rsid w:val="00CA3409"/>
    <w:rsid w:val="00CA5415"/>
    <w:rsid w:val="00CB3BE2"/>
    <w:rsid w:val="00CB59CC"/>
    <w:rsid w:val="00CC1B13"/>
    <w:rsid w:val="00CC55E3"/>
    <w:rsid w:val="00CD0396"/>
    <w:rsid w:val="00CD2A5C"/>
    <w:rsid w:val="00CD2B72"/>
    <w:rsid w:val="00CD321E"/>
    <w:rsid w:val="00CD77D4"/>
    <w:rsid w:val="00CE09AF"/>
    <w:rsid w:val="00CE7408"/>
    <w:rsid w:val="00CF7782"/>
    <w:rsid w:val="00D03BFF"/>
    <w:rsid w:val="00D11F69"/>
    <w:rsid w:val="00D161D2"/>
    <w:rsid w:val="00D20444"/>
    <w:rsid w:val="00D27703"/>
    <w:rsid w:val="00D30492"/>
    <w:rsid w:val="00D3792D"/>
    <w:rsid w:val="00D526CB"/>
    <w:rsid w:val="00D62433"/>
    <w:rsid w:val="00D62C83"/>
    <w:rsid w:val="00D87184"/>
    <w:rsid w:val="00DA041C"/>
    <w:rsid w:val="00DA1E82"/>
    <w:rsid w:val="00DA237C"/>
    <w:rsid w:val="00DB1EF3"/>
    <w:rsid w:val="00DB4967"/>
    <w:rsid w:val="00DB5B9F"/>
    <w:rsid w:val="00DB786F"/>
    <w:rsid w:val="00DC0830"/>
    <w:rsid w:val="00DC11A1"/>
    <w:rsid w:val="00DC3FD5"/>
    <w:rsid w:val="00DD4173"/>
    <w:rsid w:val="00DD5758"/>
    <w:rsid w:val="00DE13A2"/>
    <w:rsid w:val="00DE3331"/>
    <w:rsid w:val="00DE688A"/>
    <w:rsid w:val="00DF5E5E"/>
    <w:rsid w:val="00DF63A2"/>
    <w:rsid w:val="00E00879"/>
    <w:rsid w:val="00E03745"/>
    <w:rsid w:val="00E03815"/>
    <w:rsid w:val="00E0453A"/>
    <w:rsid w:val="00E05FEC"/>
    <w:rsid w:val="00E1137F"/>
    <w:rsid w:val="00E139DD"/>
    <w:rsid w:val="00E150C7"/>
    <w:rsid w:val="00E162D7"/>
    <w:rsid w:val="00E265EA"/>
    <w:rsid w:val="00E45B63"/>
    <w:rsid w:val="00E47364"/>
    <w:rsid w:val="00E47A0D"/>
    <w:rsid w:val="00E507F0"/>
    <w:rsid w:val="00E522D3"/>
    <w:rsid w:val="00E539AB"/>
    <w:rsid w:val="00E5689B"/>
    <w:rsid w:val="00E56B6E"/>
    <w:rsid w:val="00E6167F"/>
    <w:rsid w:val="00E70A66"/>
    <w:rsid w:val="00E75FD3"/>
    <w:rsid w:val="00E76AF4"/>
    <w:rsid w:val="00E85C61"/>
    <w:rsid w:val="00E96D89"/>
    <w:rsid w:val="00E97EAF"/>
    <w:rsid w:val="00EA3F32"/>
    <w:rsid w:val="00EA7648"/>
    <w:rsid w:val="00EB229D"/>
    <w:rsid w:val="00EB40CC"/>
    <w:rsid w:val="00EC4C85"/>
    <w:rsid w:val="00EC6041"/>
    <w:rsid w:val="00ED1CBD"/>
    <w:rsid w:val="00ED2C04"/>
    <w:rsid w:val="00ED2C72"/>
    <w:rsid w:val="00ED58CB"/>
    <w:rsid w:val="00EE2BD8"/>
    <w:rsid w:val="00EF21B5"/>
    <w:rsid w:val="00EF7223"/>
    <w:rsid w:val="00F02648"/>
    <w:rsid w:val="00F05AC6"/>
    <w:rsid w:val="00F151C1"/>
    <w:rsid w:val="00F15DCE"/>
    <w:rsid w:val="00F16A6A"/>
    <w:rsid w:val="00F17DAF"/>
    <w:rsid w:val="00F25F33"/>
    <w:rsid w:val="00F25F9A"/>
    <w:rsid w:val="00F26DD2"/>
    <w:rsid w:val="00F33857"/>
    <w:rsid w:val="00F36A09"/>
    <w:rsid w:val="00F413A5"/>
    <w:rsid w:val="00F4348B"/>
    <w:rsid w:val="00F450FA"/>
    <w:rsid w:val="00F45E11"/>
    <w:rsid w:val="00F47E59"/>
    <w:rsid w:val="00F55067"/>
    <w:rsid w:val="00F602B2"/>
    <w:rsid w:val="00F6042E"/>
    <w:rsid w:val="00F616B4"/>
    <w:rsid w:val="00F64220"/>
    <w:rsid w:val="00F66477"/>
    <w:rsid w:val="00F66EDB"/>
    <w:rsid w:val="00F67CBF"/>
    <w:rsid w:val="00F70F76"/>
    <w:rsid w:val="00F713DE"/>
    <w:rsid w:val="00F715B7"/>
    <w:rsid w:val="00F716D9"/>
    <w:rsid w:val="00F75136"/>
    <w:rsid w:val="00F77405"/>
    <w:rsid w:val="00F77546"/>
    <w:rsid w:val="00F90C49"/>
    <w:rsid w:val="00F921CB"/>
    <w:rsid w:val="00F93AC2"/>
    <w:rsid w:val="00F9535D"/>
    <w:rsid w:val="00FA0A0A"/>
    <w:rsid w:val="00FA3C62"/>
    <w:rsid w:val="00FB0162"/>
    <w:rsid w:val="00FB2AC2"/>
    <w:rsid w:val="00FB6C98"/>
    <w:rsid w:val="00FB6DD8"/>
    <w:rsid w:val="00FC35BC"/>
    <w:rsid w:val="00FC790B"/>
    <w:rsid w:val="00FD4DBD"/>
    <w:rsid w:val="00FE6605"/>
    <w:rsid w:val="00FF0BE6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A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524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524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524A2"/>
    <w:pPr>
      <w:spacing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24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524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9524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A3A"/>
    <w:rPr>
      <w:rFonts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1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36A3A"/>
    <w:rPr>
      <w:rFonts w:ascii="Times New Roman" w:hAnsi="Times New Roman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14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14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14F5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9524A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524A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91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524A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5914F5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Стиль6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Стиль6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Стиль6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Стиль6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Стиль6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Стиль6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Стиль6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Стиль6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0">
    <w:name w:val="Стиль6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Стиль5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Стиль5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Стиль5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Стиль5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Стиль5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Стиль5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Стиль5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Стиль5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Стиль5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Стиль4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Стиль4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Стиль4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Стиль4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Стиль4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Стиль4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Стиль4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Стиль4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0">
    <w:name w:val="Стиль4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Стиль3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Стиль3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Стиль3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Стиль3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Стиль3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Стиль3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Стиль3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Стиль3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Стиль3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Стиль2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Стиль2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Стиль2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Стиль2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Стиль2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Стиль2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Стиль2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Стиль2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Стиль2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Стиль1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Стиль1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Стиль1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Стиль1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Стиль1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Стиль1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Стиль1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Стиль1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Стиль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a">
    <w:name w:val="Стиль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a">
    <w:name w:val="Стиль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Стиль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Стиль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Стиль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rsid w:val="002A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3D4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9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956093"/>
    <w:rPr>
      <w:rFonts w:cs="Times New Roman"/>
      <w:color w:val="0000FF"/>
      <w:u w:val="single"/>
    </w:rPr>
  </w:style>
  <w:style w:type="character" w:customStyle="1" w:styleId="rvts46">
    <w:name w:val="rvts46"/>
    <w:basedOn w:val="a0"/>
    <w:uiPriority w:val="99"/>
    <w:rsid w:val="00956093"/>
    <w:rPr>
      <w:rFonts w:cs="Times New Roman"/>
    </w:rPr>
  </w:style>
  <w:style w:type="paragraph" w:styleId="ab">
    <w:name w:val="Normal (Web)"/>
    <w:aliases w:val="Обычный (Web),Обычный (веб) Знак Знак,Знак1 Знак Знак,Знак1 Знак1,Знак1 Знак Знак1,Обычный (веб) Знак Знак2,Знак1 Знак2,Обычный (веб) Знак,Знак1 Знак,Знак1,Знак,Обычный (веб) Знак Знак2 Знак Знак Знак,Обычный (веб) Знак Знак2 Знак Знак,З"/>
    <w:basedOn w:val="a"/>
    <w:link w:val="1b"/>
    <w:uiPriority w:val="99"/>
    <w:rsid w:val="00DB5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b">
    <w:name w:val="Обычный (веб) Знак1"/>
    <w:aliases w:val="Обычный (Web) Знак,Обычный (веб) Знак Знак Знак,Знак1 Знак Знак Знак,Знак1 Знак1 Знак,Знак1 Знак Знак1 Знак,Обычный (веб) Знак Знак2 Знак,Знак1 Знак2 Знак,Обычный (веб) Знак Знак1,Знак1 Знак Знак2,Знак1 Знак3,Знак Знак,З Знак"/>
    <w:link w:val="ab"/>
    <w:uiPriority w:val="99"/>
    <w:locked/>
    <w:rsid w:val="00DB5B9F"/>
    <w:rPr>
      <w:rFonts w:ascii="Times New Roman" w:hAnsi="Times New Roman"/>
      <w:sz w:val="24"/>
    </w:rPr>
  </w:style>
  <w:style w:type="character" w:customStyle="1" w:styleId="rvts9">
    <w:name w:val="rvts9"/>
    <w:basedOn w:val="a0"/>
    <w:uiPriority w:val="99"/>
    <w:rsid w:val="005E632D"/>
    <w:rPr>
      <w:rFonts w:cs="Times New Roman"/>
    </w:rPr>
  </w:style>
  <w:style w:type="paragraph" w:styleId="ac">
    <w:name w:val="header"/>
    <w:basedOn w:val="a"/>
    <w:link w:val="ad"/>
    <w:uiPriority w:val="99"/>
    <w:rsid w:val="009D4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D47B5"/>
    <w:rPr>
      <w:rFonts w:cs="Times New Roman"/>
    </w:rPr>
  </w:style>
  <w:style w:type="paragraph" w:styleId="ae">
    <w:name w:val="footer"/>
    <w:basedOn w:val="a"/>
    <w:link w:val="af"/>
    <w:uiPriority w:val="99"/>
    <w:rsid w:val="009D4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9D47B5"/>
    <w:rPr>
      <w:rFonts w:cs="Times New Roman"/>
    </w:rPr>
  </w:style>
  <w:style w:type="paragraph" w:styleId="af0">
    <w:name w:val="No Spacing"/>
    <w:link w:val="af1"/>
    <w:uiPriority w:val="99"/>
    <w:qFormat/>
    <w:rsid w:val="00407D27"/>
    <w:pPr>
      <w:spacing w:after="160" w:line="259" w:lineRule="auto"/>
    </w:pPr>
    <w:rPr>
      <w:rFonts w:cs="Times New Roman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407D27"/>
    <w:rPr>
      <w:sz w:val="22"/>
      <w:lang w:eastAsia="en-US"/>
    </w:rPr>
  </w:style>
  <w:style w:type="table" w:styleId="af2">
    <w:name w:val="Table Grid"/>
    <w:basedOn w:val="a1"/>
    <w:uiPriority w:val="99"/>
    <w:rsid w:val="00843F88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uiPriority w:val="99"/>
    <w:rsid w:val="00AE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c">
    <w:name w:val="Сітка таблиці1"/>
    <w:uiPriority w:val="99"/>
    <w:rsid w:val="00416730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ітка таблиці2"/>
    <w:uiPriority w:val="99"/>
    <w:rsid w:val="008E2F67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ітка таблиці3"/>
    <w:uiPriority w:val="99"/>
    <w:rsid w:val="00F93AC2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ітка таблиці4"/>
    <w:uiPriority w:val="99"/>
    <w:rsid w:val="00A67302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A67302"/>
    <w:pPr>
      <w:spacing w:line="240" w:lineRule="auto"/>
      <w:ind w:left="720"/>
      <w:contextualSpacing/>
    </w:pPr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customStyle="1" w:styleId="rvts80">
    <w:name w:val="rvts80"/>
    <w:basedOn w:val="a0"/>
    <w:uiPriority w:val="99"/>
    <w:rsid w:val="00036A3A"/>
    <w:rPr>
      <w:rFonts w:cs="Times New Roman"/>
    </w:rPr>
  </w:style>
  <w:style w:type="paragraph" w:customStyle="1" w:styleId="rvps14">
    <w:name w:val="rvps14"/>
    <w:basedOn w:val="a"/>
    <w:uiPriority w:val="99"/>
    <w:rsid w:val="000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uiPriority w:val="99"/>
    <w:rsid w:val="00036A3A"/>
    <w:rPr>
      <w:rFonts w:cs="Times New Roman"/>
    </w:rPr>
  </w:style>
  <w:style w:type="paragraph" w:customStyle="1" w:styleId="af4">
    <w:name w:val="Нормальний текст"/>
    <w:basedOn w:val="a"/>
    <w:link w:val="af5"/>
    <w:uiPriority w:val="99"/>
    <w:rsid w:val="00036A3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10">
    <w:name w:val="Сітка таблиці11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ітка таблиці12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uiPriority w:val="99"/>
    <w:rsid w:val="00036A3A"/>
  </w:style>
  <w:style w:type="table" w:customStyle="1" w:styleId="130">
    <w:name w:val="Сітка таблиці13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ітка таблиці14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uiPriority w:val="99"/>
    <w:rsid w:val="00036A3A"/>
    <w:rPr>
      <w:rFonts w:cs="Times New Roman"/>
    </w:rPr>
  </w:style>
  <w:style w:type="paragraph" w:customStyle="1" w:styleId="rvps7">
    <w:name w:val="rvps7"/>
    <w:basedOn w:val="a"/>
    <w:uiPriority w:val="99"/>
    <w:rsid w:val="000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uiPriority w:val="99"/>
    <w:rsid w:val="00036A3A"/>
    <w:rPr>
      <w:rFonts w:cs="Times New Roman"/>
    </w:rPr>
  </w:style>
  <w:style w:type="table" w:customStyle="1" w:styleId="111">
    <w:name w:val="Сітка таблиці111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ітка таблиці41"/>
    <w:uiPriority w:val="99"/>
    <w:rsid w:val="009F7B6B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8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86C7E"/>
    <w:rPr>
      <w:rFonts w:ascii="Courier New" w:hAnsi="Courier New" w:cs="Times New Roman"/>
      <w:sz w:val="20"/>
      <w:szCs w:val="20"/>
      <w:lang w:val="ru-RU" w:eastAsia="ru-RU"/>
    </w:rPr>
  </w:style>
  <w:style w:type="character" w:customStyle="1" w:styleId="s0">
    <w:name w:val="s0"/>
    <w:uiPriority w:val="99"/>
    <w:rsid w:val="00DB4967"/>
    <w:rPr>
      <w:rFonts w:ascii="Times New Roman" w:hAnsi="Times New Roman"/>
      <w:color w:val="000000"/>
    </w:rPr>
  </w:style>
  <w:style w:type="character" w:customStyle="1" w:styleId="af5">
    <w:name w:val="Нормальний текст Знак"/>
    <w:link w:val="af4"/>
    <w:uiPriority w:val="99"/>
    <w:locked/>
    <w:rsid w:val="003A5E74"/>
    <w:rPr>
      <w:rFonts w:ascii="Antiqua" w:hAnsi="Antiqua"/>
      <w:sz w:val="20"/>
      <w:lang w:eastAsia="ru-RU"/>
    </w:rPr>
  </w:style>
  <w:style w:type="character" w:styleId="af6">
    <w:name w:val="annotation reference"/>
    <w:basedOn w:val="a0"/>
    <w:uiPriority w:val="99"/>
    <w:semiHidden/>
    <w:rsid w:val="00B709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B709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B709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B709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B7097F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A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524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524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524A2"/>
    <w:pPr>
      <w:spacing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24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524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9524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A3A"/>
    <w:rPr>
      <w:rFonts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1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36A3A"/>
    <w:rPr>
      <w:rFonts w:ascii="Times New Roman" w:hAnsi="Times New Roman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14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14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14F5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9524A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524A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91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524A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5914F5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Стиль6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Стиль6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Стиль6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Стиль6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Стиль6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Стиль6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Стиль6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Стиль6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0">
    <w:name w:val="Стиль6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Стиль5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Стиль5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Стиль5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Стиль5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Стиль5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Стиль5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Стиль5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Стиль5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Стиль5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Стиль4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Стиль4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Стиль4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Стиль4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Стиль4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Стиль4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Стиль4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Стиль4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0">
    <w:name w:val="Стиль4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Стиль3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Стиль3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Стиль3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Стиль3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Стиль3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Стиль3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Стиль3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Стиль3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Стиль3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Стиль2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Стиль2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Стиль2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Стиль2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Стиль2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Стиль2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Стиль2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Стиль2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Стиль2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Стиль1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Стиль1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Стиль1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Стиль1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Стиль1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Стиль1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Стиль1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Стиль10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Стиль6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a">
    <w:name w:val="Стиль5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a">
    <w:name w:val="Стиль4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Стиль3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Стиль2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Стиль1"/>
    <w:basedOn w:val="TableNormal1"/>
    <w:uiPriority w:val="99"/>
    <w:rsid w:val="00952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rsid w:val="002A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3D4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9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956093"/>
    <w:rPr>
      <w:rFonts w:cs="Times New Roman"/>
      <w:color w:val="0000FF"/>
      <w:u w:val="single"/>
    </w:rPr>
  </w:style>
  <w:style w:type="character" w:customStyle="1" w:styleId="rvts46">
    <w:name w:val="rvts46"/>
    <w:basedOn w:val="a0"/>
    <w:uiPriority w:val="99"/>
    <w:rsid w:val="00956093"/>
    <w:rPr>
      <w:rFonts w:cs="Times New Roman"/>
    </w:rPr>
  </w:style>
  <w:style w:type="paragraph" w:styleId="ab">
    <w:name w:val="Normal (Web)"/>
    <w:aliases w:val="Обычный (Web),Обычный (веб) Знак Знак,Знак1 Знак Знак,Знак1 Знак1,Знак1 Знак Знак1,Обычный (веб) Знак Знак2,Знак1 Знак2,Обычный (веб) Знак,Знак1 Знак,Знак1,Знак,Обычный (веб) Знак Знак2 Знак Знак Знак,Обычный (веб) Знак Знак2 Знак Знак,З"/>
    <w:basedOn w:val="a"/>
    <w:link w:val="1b"/>
    <w:uiPriority w:val="99"/>
    <w:rsid w:val="00DB5B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b">
    <w:name w:val="Обычный (веб) Знак1"/>
    <w:aliases w:val="Обычный (Web) Знак,Обычный (веб) Знак Знак Знак,Знак1 Знак Знак Знак,Знак1 Знак1 Знак,Знак1 Знак Знак1 Знак,Обычный (веб) Знак Знак2 Знак,Знак1 Знак2 Знак,Обычный (веб) Знак Знак1,Знак1 Знак Знак2,Знак1 Знак3,Знак Знак,З Знак"/>
    <w:link w:val="ab"/>
    <w:uiPriority w:val="99"/>
    <w:locked/>
    <w:rsid w:val="00DB5B9F"/>
    <w:rPr>
      <w:rFonts w:ascii="Times New Roman" w:hAnsi="Times New Roman"/>
      <w:sz w:val="24"/>
    </w:rPr>
  </w:style>
  <w:style w:type="character" w:customStyle="1" w:styleId="rvts9">
    <w:name w:val="rvts9"/>
    <w:basedOn w:val="a0"/>
    <w:uiPriority w:val="99"/>
    <w:rsid w:val="005E632D"/>
    <w:rPr>
      <w:rFonts w:cs="Times New Roman"/>
    </w:rPr>
  </w:style>
  <w:style w:type="paragraph" w:styleId="ac">
    <w:name w:val="header"/>
    <w:basedOn w:val="a"/>
    <w:link w:val="ad"/>
    <w:uiPriority w:val="99"/>
    <w:rsid w:val="009D4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D47B5"/>
    <w:rPr>
      <w:rFonts w:cs="Times New Roman"/>
    </w:rPr>
  </w:style>
  <w:style w:type="paragraph" w:styleId="ae">
    <w:name w:val="footer"/>
    <w:basedOn w:val="a"/>
    <w:link w:val="af"/>
    <w:uiPriority w:val="99"/>
    <w:rsid w:val="009D4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9D47B5"/>
    <w:rPr>
      <w:rFonts w:cs="Times New Roman"/>
    </w:rPr>
  </w:style>
  <w:style w:type="paragraph" w:styleId="af0">
    <w:name w:val="No Spacing"/>
    <w:link w:val="af1"/>
    <w:uiPriority w:val="99"/>
    <w:qFormat/>
    <w:rsid w:val="00407D27"/>
    <w:pPr>
      <w:spacing w:after="160" w:line="259" w:lineRule="auto"/>
    </w:pPr>
    <w:rPr>
      <w:rFonts w:cs="Times New Roman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407D27"/>
    <w:rPr>
      <w:sz w:val="22"/>
      <w:lang w:eastAsia="en-US"/>
    </w:rPr>
  </w:style>
  <w:style w:type="table" w:styleId="af2">
    <w:name w:val="Table Grid"/>
    <w:basedOn w:val="a1"/>
    <w:uiPriority w:val="99"/>
    <w:rsid w:val="00843F88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uiPriority w:val="99"/>
    <w:rsid w:val="00AE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c">
    <w:name w:val="Сітка таблиці1"/>
    <w:uiPriority w:val="99"/>
    <w:rsid w:val="00416730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ітка таблиці2"/>
    <w:uiPriority w:val="99"/>
    <w:rsid w:val="008E2F67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ітка таблиці3"/>
    <w:uiPriority w:val="99"/>
    <w:rsid w:val="00F93AC2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ітка таблиці4"/>
    <w:uiPriority w:val="99"/>
    <w:rsid w:val="00A67302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A67302"/>
    <w:pPr>
      <w:spacing w:line="240" w:lineRule="auto"/>
      <w:ind w:left="720"/>
      <w:contextualSpacing/>
    </w:pPr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customStyle="1" w:styleId="rvts80">
    <w:name w:val="rvts80"/>
    <w:basedOn w:val="a0"/>
    <w:uiPriority w:val="99"/>
    <w:rsid w:val="00036A3A"/>
    <w:rPr>
      <w:rFonts w:cs="Times New Roman"/>
    </w:rPr>
  </w:style>
  <w:style w:type="paragraph" w:customStyle="1" w:styleId="rvps14">
    <w:name w:val="rvps14"/>
    <w:basedOn w:val="a"/>
    <w:uiPriority w:val="99"/>
    <w:rsid w:val="000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uiPriority w:val="99"/>
    <w:rsid w:val="00036A3A"/>
    <w:rPr>
      <w:rFonts w:cs="Times New Roman"/>
    </w:rPr>
  </w:style>
  <w:style w:type="paragraph" w:customStyle="1" w:styleId="af4">
    <w:name w:val="Нормальний текст"/>
    <w:basedOn w:val="a"/>
    <w:link w:val="af5"/>
    <w:uiPriority w:val="99"/>
    <w:rsid w:val="00036A3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10">
    <w:name w:val="Сітка таблиці11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ітка таблиці12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uiPriority w:val="99"/>
    <w:rsid w:val="00036A3A"/>
  </w:style>
  <w:style w:type="table" w:customStyle="1" w:styleId="130">
    <w:name w:val="Сітка таблиці13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ітка таблиці14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uiPriority w:val="99"/>
    <w:rsid w:val="00036A3A"/>
    <w:rPr>
      <w:rFonts w:cs="Times New Roman"/>
    </w:rPr>
  </w:style>
  <w:style w:type="paragraph" w:customStyle="1" w:styleId="rvps7">
    <w:name w:val="rvps7"/>
    <w:basedOn w:val="a"/>
    <w:uiPriority w:val="99"/>
    <w:rsid w:val="000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uiPriority w:val="99"/>
    <w:rsid w:val="00036A3A"/>
    <w:rPr>
      <w:rFonts w:cs="Times New Roman"/>
    </w:rPr>
  </w:style>
  <w:style w:type="table" w:customStyle="1" w:styleId="111">
    <w:name w:val="Сітка таблиці111"/>
    <w:uiPriority w:val="99"/>
    <w:rsid w:val="00036A3A"/>
    <w:rPr>
      <w:rFonts w:ascii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ітка таблиці41"/>
    <w:uiPriority w:val="99"/>
    <w:rsid w:val="009F7B6B"/>
    <w:rPr>
      <w:rFonts w:ascii="Cambria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8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86C7E"/>
    <w:rPr>
      <w:rFonts w:ascii="Courier New" w:hAnsi="Courier New" w:cs="Times New Roman"/>
      <w:sz w:val="20"/>
      <w:szCs w:val="20"/>
      <w:lang w:val="ru-RU" w:eastAsia="ru-RU"/>
    </w:rPr>
  </w:style>
  <w:style w:type="character" w:customStyle="1" w:styleId="s0">
    <w:name w:val="s0"/>
    <w:uiPriority w:val="99"/>
    <w:rsid w:val="00DB4967"/>
    <w:rPr>
      <w:rFonts w:ascii="Times New Roman" w:hAnsi="Times New Roman"/>
      <w:color w:val="000000"/>
    </w:rPr>
  </w:style>
  <w:style w:type="character" w:customStyle="1" w:styleId="af5">
    <w:name w:val="Нормальний текст Знак"/>
    <w:link w:val="af4"/>
    <w:uiPriority w:val="99"/>
    <w:locked/>
    <w:rsid w:val="003A5E74"/>
    <w:rPr>
      <w:rFonts w:ascii="Antiqua" w:hAnsi="Antiqua"/>
      <w:sz w:val="20"/>
      <w:lang w:eastAsia="ru-RU"/>
    </w:rPr>
  </w:style>
  <w:style w:type="character" w:styleId="af6">
    <w:name w:val="annotation reference"/>
    <w:basedOn w:val="a0"/>
    <w:uiPriority w:val="99"/>
    <w:semiHidden/>
    <w:rsid w:val="00B709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B709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B709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B709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B7097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9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9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a375202-05" TargetMode="External"/><Relationship Id="rId13" Type="http://schemas.openxmlformats.org/officeDocument/2006/relationships/hyperlink" Target="https://zakon.rada.gov.ua/laws/show/2415-1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va507565-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vb457609-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973-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73-15" TargetMode="External"/><Relationship Id="rId14" Type="http://schemas.openxmlformats.org/officeDocument/2006/relationships/hyperlink" Target="https://zakon.rada.gov.ua/laws/show/2415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10775</Words>
  <Characters>6142</Characters>
  <Application>Microsoft Office Word</Application>
  <DocSecurity>4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України від 30</vt:lpstr>
    </vt:vector>
  </TitlesOfParts>
  <Company>Krokoz™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України від 30</dc:title>
  <dc:creator>Максименко Лариса Петрівна</dc:creator>
  <cp:lastModifiedBy>Шевченко Володимир Олександрович</cp:lastModifiedBy>
  <cp:revision>2</cp:revision>
  <cp:lastPrinted>2021-12-22T06:12:00Z</cp:lastPrinted>
  <dcterms:created xsi:type="dcterms:W3CDTF">2022-01-11T14:00:00Z</dcterms:created>
  <dcterms:modified xsi:type="dcterms:W3CDTF">2022-01-11T14:00:00Z</dcterms:modified>
</cp:coreProperties>
</file>