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B6" w:rsidRPr="00946C36" w:rsidRDefault="005816B6" w:rsidP="006D5B0F">
      <w:pPr>
        <w:spacing w:line="240" w:lineRule="auto"/>
        <w:jc w:val="center"/>
        <w:rPr>
          <w:rFonts w:ascii="Times New Roman" w:hAnsi="Times New Roman" w:cs="Times New Roman"/>
          <w:b/>
          <w:sz w:val="28"/>
          <w:szCs w:val="28"/>
        </w:rPr>
      </w:pPr>
    </w:p>
    <w:p w:rsidR="005816B6" w:rsidRDefault="005816B6" w:rsidP="006D5B0F">
      <w:pPr>
        <w:tabs>
          <w:tab w:val="left" w:pos="307"/>
        </w:tabs>
        <w:spacing w:after="0" w:line="240" w:lineRule="auto"/>
        <w:jc w:val="center"/>
        <w:rPr>
          <w:rFonts w:ascii="Times New Roman" w:hAnsi="Times New Roman" w:cs="Times New Roman"/>
          <w:b/>
          <w:color w:val="2F2F2F"/>
          <w:sz w:val="32"/>
          <w:szCs w:val="32"/>
        </w:rPr>
      </w:pPr>
      <w:r w:rsidRPr="006D5B0F">
        <w:rPr>
          <w:rFonts w:ascii="Times New Roman" w:hAnsi="Times New Roman" w:cs="Times New Roman"/>
          <w:b/>
          <w:color w:val="2F2F2F"/>
          <w:sz w:val="32"/>
          <w:szCs w:val="32"/>
        </w:rPr>
        <w:t xml:space="preserve">Закон України від 30.11.2021  №1914-XI  </w:t>
      </w:r>
    </w:p>
    <w:p w:rsidR="005816B6" w:rsidRDefault="005816B6" w:rsidP="006D5B0F">
      <w:pPr>
        <w:tabs>
          <w:tab w:val="left" w:pos="307"/>
        </w:tabs>
        <w:spacing w:after="0" w:line="240" w:lineRule="auto"/>
        <w:jc w:val="center"/>
        <w:rPr>
          <w:rFonts w:ascii="Times New Roman" w:hAnsi="Times New Roman" w:cs="Times New Roman"/>
          <w:b/>
          <w:color w:val="2F2F2F"/>
          <w:sz w:val="32"/>
          <w:szCs w:val="32"/>
        </w:rPr>
      </w:pPr>
      <w:r w:rsidRPr="006D5B0F">
        <w:rPr>
          <w:rFonts w:ascii="Times New Roman" w:hAnsi="Times New Roman" w:cs="Times New Roman"/>
          <w:b/>
          <w:color w:val="2F2F2F"/>
          <w:sz w:val="32"/>
          <w:szCs w:val="32"/>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w:t>
      </w:r>
    </w:p>
    <w:p w:rsidR="005816B6" w:rsidRPr="00316C3E" w:rsidRDefault="005816B6" w:rsidP="006D5B0F">
      <w:pPr>
        <w:tabs>
          <w:tab w:val="left" w:pos="307"/>
        </w:tabs>
        <w:spacing w:after="0" w:line="240" w:lineRule="auto"/>
        <w:jc w:val="center"/>
        <w:rPr>
          <w:rFonts w:ascii="Times New Roman" w:hAnsi="Times New Roman" w:cs="Times New Roman"/>
          <w:b/>
          <w:color w:val="2F2F2F"/>
          <w:sz w:val="28"/>
          <w:szCs w:val="28"/>
        </w:rPr>
      </w:pPr>
      <w:r w:rsidRPr="00316C3E">
        <w:rPr>
          <w:rFonts w:ascii="Times New Roman" w:hAnsi="Times New Roman" w:cs="Times New Roman"/>
          <w:b/>
          <w:color w:val="2F2F2F"/>
          <w:sz w:val="28"/>
          <w:szCs w:val="28"/>
        </w:rPr>
        <w:t>(офіційно оприлюднено в газеті «Голос Україні» від 21 грудня 2021 року №244)</w:t>
      </w:r>
    </w:p>
    <w:p w:rsidR="005816B6" w:rsidRPr="00316C3E" w:rsidRDefault="005816B6" w:rsidP="006D5B0F">
      <w:pPr>
        <w:spacing w:after="0" w:line="240" w:lineRule="auto"/>
        <w:jc w:val="center"/>
        <w:rPr>
          <w:rFonts w:ascii="Times New Roman" w:hAnsi="Times New Roman" w:cs="Times New Roman"/>
          <w:b/>
          <w:sz w:val="28"/>
          <w:szCs w:val="28"/>
        </w:rPr>
      </w:pPr>
      <w:r w:rsidRPr="00316C3E">
        <w:rPr>
          <w:rFonts w:ascii="Times New Roman" w:hAnsi="Times New Roman" w:cs="Times New Roman"/>
          <w:b/>
          <w:sz w:val="28"/>
          <w:szCs w:val="28"/>
        </w:rPr>
        <w:t>ПОРІВНЯЛЬНА ТАБЛИЦЯ</w:t>
      </w:r>
    </w:p>
    <w:p w:rsidR="005816B6" w:rsidRPr="0001216E" w:rsidRDefault="005816B6" w:rsidP="0001216E">
      <w:pPr>
        <w:spacing w:after="0" w:line="240" w:lineRule="auto"/>
        <w:jc w:val="center"/>
        <w:rPr>
          <w:rFonts w:ascii="Times New Roman" w:hAnsi="Times New Roman" w:cs="Times New Roman"/>
          <w:b/>
          <w:sz w:val="28"/>
          <w:szCs w:val="28"/>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6804"/>
        <w:gridCol w:w="3686"/>
      </w:tblGrid>
      <w:tr w:rsidR="005816B6" w:rsidTr="00F143CC">
        <w:tc>
          <w:tcPr>
            <w:tcW w:w="15877" w:type="dxa"/>
            <w:gridSpan w:val="3"/>
          </w:tcPr>
          <w:p w:rsidR="005816B6" w:rsidRPr="00F143CC" w:rsidRDefault="005816B6" w:rsidP="00F143CC">
            <w:pPr>
              <w:spacing w:after="0" w:line="240" w:lineRule="auto"/>
              <w:jc w:val="center"/>
              <w:rPr>
                <w:rFonts w:ascii="Cambria" w:hAnsi="Cambria" w:cs="Times New Roman"/>
                <w:lang w:eastAsia="en-US"/>
              </w:rPr>
            </w:pPr>
            <w:r w:rsidRPr="00F143CC">
              <w:rPr>
                <w:rFonts w:ascii="Times New Roman" w:hAnsi="Times New Roman" w:cs="Times New Roman"/>
                <w:b/>
                <w:sz w:val="32"/>
                <w:szCs w:val="32"/>
              </w:rPr>
              <w:t>Плата за землю</w:t>
            </w:r>
          </w:p>
        </w:tc>
      </w:tr>
      <w:tr w:rsidR="005816B6" w:rsidTr="00F143CC">
        <w:tc>
          <w:tcPr>
            <w:tcW w:w="5387" w:type="dxa"/>
          </w:tcPr>
          <w:p w:rsidR="005816B6" w:rsidRPr="00F143CC" w:rsidRDefault="005816B6" w:rsidP="00F143CC">
            <w:pPr>
              <w:spacing w:after="0" w:line="240" w:lineRule="auto"/>
              <w:jc w:val="center"/>
              <w:rPr>
                <w:rFonts w:ascii="Cambria" w:hAnsi="Cambria" w:cs="Times New Roman"/>
                <w:lang w:eastAsia="en-US"/>
              </w:rPr>
            </w:pPr>
            <w:r w:rsidRPr="00F143CC">
              <w:rPr>
                <w:rFonts w:ascii="Times New Roman" w:hAnsi="Times New Roman" w:cs="Times New Roman"/>
                <w:b/>
                <w:sz w:val="28"/>
                <w:szCs w:val="28"/>
              </w:rPr>
              <w:t>редакція норм ПКУ до змін, внесених Законом України від 30.11.2021  №1914-XI</w:t>
            </w:r>
          </w:p>
        </w:tc>
        <w:tc>
          <w:tcPr>
            <w:tcW w:w="6804" w:type="dxa"/>
          </w:tcPr>
          <w:p w:rsidR="005816B6" w:rsidRPr="00F143CC" w:rsidRDefault="005816B6" w:rsidP="00F143CC">
            <w:pPr>
              <w:spacing w:after="0" w:line="240" w:lineRule="auto"/>
              <w:jc w:val="center"/>
              <w:rPr>
                <w:rFonts w:ascii="Times New Roman" w:hAnsi="Times New Roman" w:cs="Times New Roman"/>
                <w:b/>
                <w:lang w:eastAsia="en-US"/>
              </w:rPr>
            </w:pPr>
            <w:r w:rsidRPr="00F143CC">
              <w:rPr>
                <w:rFonts w:ascii="Times New Roman" w:hAnsi="Times New Roman" w:cs="Times New Roman"/>
                <w:b/>
                <w:sz w:val="28"/>
                <w:szCs w:val="28"/>
              </w:rPr>
              <w:t>редакція норм ПКУ із змінами,  внесеними Законом України від 30.11.2021  №1914-XI</w:t>
            </w:r>
          </w:p>
          <w:p w:rsidR="005816B6" w:rsidRPr="00F143CC" w:rsidRDefault="005816B6" w:rsidP="00F143CC">
            <w:pPr>
              <w:spacing w:after="0" w:line="240" w:lineRule="auto"/>
              <w:jc w:val="center"/>
              <w:rPr>
                <w:rFonts w:ascii="Cambria" w:hAnsi="Cambria" w:cs="Times New Roman"/>
                <w:lang w:eastAsia="en-US"/>
              </w:rPr>
            </w:pP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rPr>
            </w:pPr>
            <w:r w:rsidRPr="00F143CC">
              <w:rPr>
                <w:rFonts w:ascii="Times New Roman" w:hAnsi="Times New Roman" w:cs="Times New Roman"/>
                <w:b/>
                <w:sz w:val="28"/>
                <w:szCs w:val="28"/>
              </w:rPr>
              <w:t>Набуття чинності</w:t>
            </w:r>
          </w:p>
          <w:p w:rsidR="005816B6" w:rsidRPr="00F143CC" w:rsidRDefault="005816B6" w:rsidP="00F143CC">
            <w:pPr>
              <w:spacing w:after="0" w:line="240" w:lineRule="auto"/>
              <w:jc w:val="center"/>
              <w:rPr>
                <w:rFonts w:ascii="Cambria" w:hAnsi="Cambria" w:cs="Times New Roman"/>
                <w:lang w:eastAsia="en-US"/>
              </w:rPr>
            </w:pPr>
            <w:r w:rsidRPr="00F143CC">
              <w:rPr>
                <w:rFonts w:ascii="Times New Roman" w:hAnsi="Times New Roman" w:cs="Times New Roman"/>
                <w:b/>
                <w:sz w:val="28"/>
                <w:szCs w:val="28"/>
              </w:rPr>
              <w:t>Короткий зміст</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п.12.4.</w:t>
            </w:r>
            <w:r w:rsidRPr="00F143CC">
              <w:rPr>
                <w:rFonts w:ascii="Times New Roman" w:hAnsi="Times New Roman" w:cs="Times New Roman"/>
                <w:sz w:val="26"/>
                <w:szCs w:val="26"/>
                <w:lang w:eastAsia="en-US"/>
              </w:rPr>
              <w:t xml:space="preserve"> До повноважень сільських, селищних, міських рад та рад об’єднаних територіальних громад, що створені згідно із законом та перспективним планом формування територій громад, щодо податків та зборів належать:</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p>
          <w:p w:rsidR="005816B6" w:rsidRPr="00F143CC" w:rsidRDefault="005816B6" w:rsidP="00F143CC">
            <w:pPr>
              <w:spacing w:after="0" w:line="240" w:lineRule="auto"/>
              <w:ind w:firstLine="33"/>
              <w:jc w:val="both"/>
              <w:rPr>
                <w:rFonts w:ascii="Cambria" w:hAnsi="Cambria" w:cs="Times New Roman"/>
                <w:sz w:val="24"/>
                <w:szCs w:val="24"/>
                <w:lang w:eastAsia="en-US"/>
              </w:rPr>
            </w:pPr>
            <w:r w:rsidRPr="00F143CC">
              <w:rPr>
                <w:rFonts w:ascii="Times New Roman" w:hAnsi="Times New Roman" w:cs="Times New Roman"/>
                <w:sz w:val="26"/>
                <w:szCs w:val="26"/>
                <w:lang w:eastAsia="en-US"/>
              </w:rPr>
              <w:t>Редакція відсутня</w:t>
            </w: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0" w:name="n12"/>
            <w:bookmarkEnd w:id="0"/>
            <w:r w:rsidRPr="00F143CC">
              <w:rPr>
                <w:rFonts w:ascii="Times New Roman" w:hAnsi="Times New Roman" w:cs="Times New Roman"/>
                <w:b/>
                <w:sz w:val="26"/>
                <w:szCs w:val="26"/>
                <w:lang w:eastAsia="en-US"/>
              </w:rPr>
              <w:t>п.12.4.</w:t>
            </w:r>
            <w:r w:rsidRPr="00F143CC">
              <w:rPr>
                <w:rFonts w:ascii="Times New Roman" w:hAnsi="Times New Roman" w:cs="Times New Roman"/>
                <w:sz w:val="26"/>
                <w:szCs w:val="26"/>
                <w:lang w:eastAsia="en-US"/>
              </w:rPr>
              <w:t xml:space="preserve"> До повноважень сільських, селищних, міських рад та рад об’єднаних територіальних громад, що створені згідно із законом та перспективним планом формування територій громад, щодо податків та зборів належать:</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12.4.5</w:t>
            </w:r>
            <w:r w:rsidRPr="00F143CC">
              <w:rPr>
                <w:rFonts w:ascii="Times New Roman" w:hAnsi="Times New Roman" w:cs="Times New Roman"/>
                <w:sz w:val="26"/>
                <w:szCs w:val="26"/>
                <w:lang w:eastAsia="en-US"/>
              </w:rPr>
              <w:t>. надання інформації контролюючим органам за місцезнаходженням земельних ділянок щодо виділених земельних ділянок у натурі (на місцевості) власникам земельних часток (паїв) на підставі рішень органу місцевого самоврядування з наданням копій таких документів: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 w:name="n13"/>
            <w:bookmarkEnd w:id="1"/>
            <w:r w:rsidRPr="00F143CC">
              <w:rPr>
                <w:rFonts w:ascii="Times New Roman" w:hAnsi="Times New Roman" w:cs="Times New Roman"/>
                <w:sz w:val="26"/>
                <w:szCs w:val="26"/>
                <w:lang w:eastAsia="en-US"/>
              </w:rPr>
              <w:t>документа, що посвідчує особу та підтверджує громадянство України (паспорта громадянина);</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 w:name="n14"/>
            <w:bookmarkEnd w:id="2"/>
            <w:r w:rsidRPr="00F143CC">
              <w:rPr>
                <w:rFonts w:ascii="Times New Roman" w:hAnsi="Times New Roman" w:cs="Times New Roman"/>
                <w:sz w:val="26"/>
                <w:szCs w:val="26"/>
                <w:lang w:eastAsia="en-US"/>
              </w:rPr>
              <w:t>реєстраційного номера облікової картки платника податків;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3" w:name="n15"/>
            <w:bookmarkEnd w:id="3"/>
            <w:r w:rsidRPr="00F143CC">
              <w:rPr>
                <w:rFonts w:ascii="Times New Roman" w:hAnsi="Times New Roman" w:cs="Times New Roman"/>
                <w:sz w:val="26"/>
                <w:szCs w:val="26"/>
                <w:lang w:eastAsia="en-US"/>
              </w:rPr>
              <w:t>кадастрового плану земельної ділянки з проекту землеустрою щодо організації території земельних часток (паїв);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4" w:name="n16"/>
            <w:bookmarkEnd w:id="4"/>
            <w:r w:rsidRPr="00F143CC">
              <w:rPr>
                <w:rFonts w:ascii="Times New Roman" w:hAnsi="Times New Roman" w:cs="Times New Roman"/>
                <w:sz w:val="26"/>
                <w:szCs w:val="26"/>
                <w:lang w:eastAsia="en-US"/>
              </w:rPr>
              <w:t>сертифіката на право на земельну частку (пай) (за наявності).</w:t>
            </w:r>
          </w:p>
          <w:p w:rsidR="005816B6" w:rsidRPr="00F143CC" w:rsidRDefault="005816B6" w:rsidP="00F143CC">
            <w:pPr>
              <w:spacing w:after="0" w:line="240" w:lineRule="auto"/>
              <w:ind w:firstLine="33"/>
              <w:jc w:val="both"/>
              <w:rPr>
                <w:rFonts w:ascii="Cambria" w:hAnsi="Cambria" w:cs="Times New Roman"/>
                <w:sz w:val="24"/>
                <w:szCs w:val="24"/>
                <w:lang w:eastAsia="en-US"/>
              </w:rPr>
            </w:pPr>
            <w:bookmarkStart w:id="5" w:name="n17"/>
            <w:bookmarkEnd w:id="5"/>
            <w:r w:rsidRPr="00F143CC">
              <w:rPr>
                <w:rFonts w:ascii="Times New Roman" w:hAnsi="Times New Roman" w:cs="Times New Roman"/>
                <w:sz w:val="26"/>
                <w:szCs w:val="26"/>
                <w:lang w:eastAsia="en-US"/>
              </w:rPr>
              <w:t xml:space="preserve">Така інформація надається в електронному вигляді у порядку та за формою, затвердженими Кабінетом </w:t>
            </w:r>
            <w:r w:rsidRPr="00F143CC">
              <w:rPr>
                <w:rFonts w:ascii="Times New Roman" w:hAnsi="Times New Roman" w:cs="Times New Roman"/>
                <w:sz w:val="26"/>
                <w:szCs w:val="26"/>
                <w:lang w:eastAsia="en-US"/>
              </w:rPr>
              <w:lastRenderedPageBreak/>
              <w:t>Міністрів України</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jc w:val="both"/>
              <w:rPr>
                <w:rFonts w:ascii="Cambria" w:hAnsi="Cambria" w:cs="Times New Roman"/>
                <w:sz w:val="28"/>
                <w:szCs w:val="28"/>
                <w:lang w:eastAsia="en-US"/>
              </w:rPr>
            </w:pP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Органи місцевого самоврядування будуть надавати контролюючим органам за місцезнаходженням земельних ділянок щодо виділених земельних ділянок у натурі  власникам земельних часток (паїв) на підставі рішень органу місцевого самоврядування з наданням копій документів.</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Інформація надається в електронному вигляді у порядку та за формою, затвердженими КМУ</w:t>
            </w:r>
          </w:p>
          <w:p w:rsidR="005816B6" w:rsidRPr="00F143CC" w:rsidRDefault="005816B6" w:rsidP="00F143CC">
            <w:pPr>
              <w:spacing w:after="0" w:line="240" w:lineRule="auto"/>
              <w:jc w:val="both"/>
              <w:rPr>
                <w:rFonts w:ascii="Cambria" w:hAnsi="Cambria" w:cs="Times New Roman"/>
                <w:sz w:val="24"/>
                <w:szCs w:val="24"/>
                <w:lang w:eastAsia="en-US"/>
              </w:rPr>
            </w:pPr>
          </w:p>
        </w:tc>
      </w:tr>
      <w:tr w:rsidR="005816B6" w:rsidTr="00F143CC">
        <w:tc>
          <w:tcPr>
            <w:tcW w:w="5387" w:type="dxa"/>
          </w:tcPr>
          <w:p w:rsidR="005816B6" w:rsidRPr="00F143CC" w:rsidRDefault="005816B6" w:rsidP="00F143CC">
            <w:pPr>
              <w:spacing w:after="0" w:line="240" w:lineRule="auto"/>
              <w:ind w:firstLine="33"/>
              <w:jc w:val="both"/>
              <w:rPr>
                <w:rFonts w:ascii="Cambria" w:hAnsi="Cambria" w:cs="Times New Roman"/>
                <w:lang w:eastAsia="en-US"/>
              </w:rPr>
            </w:pPr>
            <w:bookmarkStart w:id="6" w:name="n3701"/>
            <w:bookmarkEnd w:id="6"/>
            <w:r w:rsidRPr="00F143CC">
              <w:rPr>
                <w:rFonts w:ascii="Times New Roman" w:hAnsi="Times New Roman" w:cs="Times New Roman"/>
                <w:b/>
                <w:sz w:val="26"/>
                <w:szCs w:val="26"/>
                <w:lang w:eastAsia="en-US"/>
              </w:rPr>
              <w:lastRenderedPageBreak/>
              <w:t>пп.14.1.73.</w:t>
            </w:r>
            <w:r w:rsidRPr="00F143CC">
              <w:rPr>
                <w:rFonts w:ascii="Times New Roman" w:hAnsi="Times New Roman" w:cs="Times New Roman"/>
                <w:sz w:val="26"/>
                <w:szCs w:val="26"/>
                <w:lang w:eastAsia="en-US"/>
              </w:rPr>
              <w:t xml:space="preserve"> землекористувачі - юридичні та фізичні особи (резиденти і нерезиденти), яким відповідно до закону надані у користування земельні ділянки державної та комунальної власності, у тому числі на умовах оренди;</w:t>
            </w: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пп.</w:t>
            </w:r>
            <w:bookmarkStart w:id="7" w:name="n24"/>
            <w:bookmarkEnd w:id="7"/>
            <w:r w:rsidRPr="00F143CC">
              <w:rPr>
                <w:rFonts w:ascii="Times New Roman" w:hAnsi="Times New Roman" w:cs="Times New Roman"/>
                <w:b/>
                <w:sz w:val="26"/>
                <w:szCs w:val="26"/>
                <w:lang w:eastAsia="en-US"/>
              </w:rPr>
              <w:t>14.1.73.</w:t>
            </w:r>
            <w:r w:rsidRPr="00F143CC">
              <w:rPr>
                <w:rFonts w:ascii="Times New Roman" w:hAnsi="Times New Roman" w:cs="Times New Roman"/>
                <w:sz w:val="26"/>
                <w:szCs w:val="26"/>
                <w:lang w:eastAsia="en-US"/>
              </w:rPr>
              <w:t xml:space="preserve"> землекористувачі - юридичні та фізичні особи (резиденти і нерезиденти), які користуються земельними ділянками державної та комунальної власності:</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8" w:name="n25"/>
            <w:bookmarkEnd w:id="8"/>
            <w:r w:rsidRPr="00F143CC">
              <w:rPr>
                <w:rFonts w:ascii="Times New Roman" w:hAnsi="Times New Roman" w:cs="Times New Roman"/>
                <w:sz w:val="26"/>
                <w:szCs w:val="26"/>
                <w:lang w:eastAsia="en-US"/>
              </w:rPr>
              <w:t>на праві постійного користування;</w:t>
            </w:r>
          </w:p>
          <w:p w:rsidR="005816B6" w:rsidRPr="00F143CC" w:rsidRDefault="005816B6" w:rsidP="00F143CC">
            <w:pPr>
              <w:spacing w:after="0" w:line="240" w:lineRule="auto"/>
              <w:ind w:firstLine="33"/>
              <w:jc w:val="both"/>
              <w:rPr>
                <w:rFonts w:ascii="Cambria" w:hAnsi="Cambria" w:cs="Times New Roman"/>
                <w:lang w:eastAsia="en-US"/>
              </w:rPr>
            </w:pPr>
            <w:bookmarkStart w:id="9" w:name="n26"/>
            <w:bookmarkEnd w:id="9"/>
            <w:r w:rsidRPr="00F143CC">
              <w:rPr>
                <w:rFonts w:ascii="Times New Roman" w:hAnsi="Times New Roman" w:cs="Times New Roman"/>
                <w:sz w:val="26"/>
                <w:szCs w:val="26"/>
                <w:lang w:eastAsia="en-US"/>
              </w:rPr>
              <w:t>на умовах оренди</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Уточнено термін «землекористувачі», зокрема, це юридичні та фізичні особи, які користуються земельними ділянками державної та комунальної власності:</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на праві постійного користування;</w:t>
            </w: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на умовах оренди</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п.269.1</w:t>
            </w:r>
            <w:r w:rsidRPr="00F143CC">
              <w:rPr>
                <w:rFonts w:ascii="Times New Roman" w:hAnsi="Times New Roman" w:cs="Times New Roman"/>
                <w:sz w:val="26"/>
                <w:szCs w:val="26"/>
                <w:lang w:eastAsia="en-US"/>
              </w:rPr>
              <w:t>. Платниками податку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0" w:name="n6752"/>
            <w:bookmarkEnd w:id="10"/>
            <w:r w:rsidRPr="00F143CC">
              <w:rPr>
                <w:rFonts w:ascii="Times New Roman" w:hAnsi="Times New Roman" w:cs="Times New Roman"/>
                <w:sz w:val="26"/>
                <w:szCs w:val="26"/>
                <w:lang w:eastAsia="en-US"/>
              </w:rPr>
              <w:t>269.1.1. власники земельних ділянок, земельних часток (паїв);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1" w:name="n6753"/>
            <w:bookmarkEnd w:id="11"/>
            <w:r w:rsidRPr="00F143CC">
              <w:rPr>
                <w:rFonts w:ascii="Times New Roman" w:hAnsi="Times New Roman" w:cs="Times New Roman"/>
                <w:sz w:val="26"/>
                <w:szCs w:val="26"/>
                <w:lang w:eastAsia="en-US"/>
              </w:rPr>
              <w:t>269.1.2. землекористувачі.</w:t>
            </w:r>
          </w:p>
          <w:p w:rsidR="005816B6" w:rsidRPr="00F143CC" w:rsidRDefault="005816B6" w:rsidP="00F143CC">
            <w:pPr>
              <w:spacing w:after="0" w:line="240" w:lineRule="auto"/>
              <w:jc w:val="both"/>
              <w:rPr>
                <w:rFonts w:ascii="Cambria" w:hAnsi="Cambria" w:cs="Times New Roman"/>
                <w:lang w:eastAsia="en-US"/>
              </w:rPr>
            </w:pP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п.269.1</w:t>
            </w:r>
            <w:r w:rsidRPr="00F143CC">
              <w:rPr>
                <w:rFonts w:ascii="Times New Roman" w:hAnsi="Times New Roman" w:cs="Times New Roman"/>
                <w:sz w:val="26"/>
                <w:szCs w:val="26"/>
                <w:lang w:eastAsia="en-US"/>
              </w:rPr>
              <w:t>. Платниками плати за землю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269.1.1. платники земельного податку:</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269.1.1.1. власники земельних ділянок, земельних часток (паїв);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269.1.1.2.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816B6" w:rsidRPr="00F143CC" w:rsidRDefault="005816B6" w:rsidP="00F143CC">
            <w:pPr>
              <w:spacing w:after="0" w:line="240" w:lineRule="auto"/>
              <w:ind w:firstLine="33"/>
              <w:jc w:val="both"/>
              <w:rPr>
                <w:rFonts w:ascii="Cambria" w:hAnsi="Cambria" w:cs="Times New Roman"/>
                <w:sz w:val="24"/>
                <w:szCs w:val="24"/>
                <w:lang w:eastAsia="en-US"/>
              </w:rPr>
            </w:pPr>
            <w:r w:rsidRPr="00F143CC">
              <w:rPr>
                <w:rFonts w:ascii="Times New Roman" w:hAnsi="Times New Roman" w:cs="Times New Roman"/>
                <w:sz w:val="26"/>
                <w:szCs w:val="26"/>
                <w:lang w:eastAsia="en-US"/>
              </w:rPr>
              <w:t>269.1.2. платники орендної плати - землекористувачі (орендарі) земельних ділянок державної та комунальної власності на умовах оренди</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До платників  плати за землю додано платників  орендної плати - землекористувачів (орендарів) земельних ділянок державної та комунальної власності на умовах оренди</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270. Об'єкти оподаткування земельним податком</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2" w:name="n11930"/>
            <w:bookmarkStart w:id="13" w:name="n6757"/>
            <w:bookmarkEnd w:id="12"/>
            <w:bookmarkEnd w:id="13"/>
            <w:r w:rsidRPr="00F143CC">
              <w:rPr>
                <w:rFonts w:ascii="Times New Roman" w:hAnsi="Times New Roman" w:cs="Times New Roman"/>
                <w:sz w:val="26"/>
                <w:szCs w:val="26"/>
                <w:lang w:eastAsia="en-US"/>
              </w:rPr>
              <w:t>270.1. Об'єктами оподаткування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4" w:name="n6758"/>
            <w:bookmarkEnd w:id="14"/>
            <w:r w:rsidRPr="00F143CC">
              <w:rPr>
                <w:rFonts w:ascii="Times New Roman" w:hAnsi="Times New Roman" w:cs="Times New Roman"/>
                <w:sz w:val="26"/>
                <w:szCs w:val="26"/>
                <w:lang w:eastAsia="en-US"/>
              </w:rPr>
              <w:t>270.1.1. земельні ділянки, які перебувають у власності або користуванні;</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5" w:name="n6759"/>
            <w:bookmarkEnd w:id="15"/>
            <w:r w:rsidRPr="00F143CC">
              <w:rPr>
                <w:rFonts w:ascii="Times New Roman" w:hAnsi="Times New Roman" w:cs="Times New Roman"/>
                <w:sz w:val="26"/>
                <w:szCs w:val="26"/>
                <w:lang w:eastAsia="en-US"/>
              </w:rPr>
              <w:t>270.1.2. земельні частки (паї), які перебувають у власності.</w:t>
            </w:r>
          </w:p>
          <w:p w:rsidR="005816B6" w:rsidRPr="00F143CC" w:rsidRDefault="005816B6" w:rsidP="00F143CC">
            <w:pPr>
              <w:spacing w:after="0" w:line="240" w:lineRule="auto"/>
              <w:jc w:val="center"/>
              <w:rPr>
                <w:rFonts w:ascii="Cambria" w:hAnsi="Cambria" w:cs="Times New Roman"/>
                <w:lang w:eastAsia="en-US"/>
              </w:rPr>
            </w:pPr>
          </w:p>
        </w:tc>
        <w:tc>
          <w:tcPr>
            <w:tcW w:w="6804"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270. Об’єкти оподаткування платою за землю</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270.1. Об’єктами оподаткування платою за землю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270.1.1. об’єкти оподаткування земельним податком:</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270.1.1.1. земельні ділянки, які перебувають у власності;</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270.1.1.2. земельні частки (паї), які перебувають у власності;</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270.1.1.3. земельні ділянки державної та комунальної власності, які перебувають у володінні на праві постійного користування;</w:t>
            </w:r>
          </w:p>
          <w:p w:rsidR="005816B6" w:rsidRPr="00F143CC" w:rsidRDefault="005816B6" w:rsidP="00F143CC">
            <w:pPr>
              <w:spacing w:after="0" w:line="240" w:lineRule="auto"/>
              <w:ind w:firstLine="33"/>
              <w:jc w:val="both"/>
              <w:rPr>
                <w:rFonts w:ascii="Cambria" w:hAnsi="Cambria" w:cs="Times New Roman"/>
                <w:sz w:val="24"/>
                <w:szCs w:val="24"/>
                <w:lang w:eastAsia="en-US"/>
              </w:rPr>
            </w:pPr>
            <w:r w:rsidRPr="00F143CC">
              <w:rPr>
                <w:rFonts w:ascii="Times New Roman" w:hAnsi="Times New Roman" w:cs="Times New Roman"/>
                <w:sz w:val="26"/>
                <w:szCs w:val="26"/>
                <w:lang w:eastAsia="en-US"/>
              </w:rPr>
              <w:lastRenderedPageBreak/>
              <w:t>270.1.2. об’єкти оподаткування орендною платою - земельні ділянки державної та комунальної власності, надані в користування на умовах оренди</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 xml:space="preserve">До об’єктів  оподаткування платою за землю додано: </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 xml:space="preserve">- земельні ділянки державної та комунальної власності, які перебувають у володінні на праві </w:t>
            </w:r>
            <w:r w:rsidRPr="00F143CC">
              <w:rPr>
                <w:rFonts w:ascii="Times New Roman" w:hAnsi="Times New Roman" w:cs="Times New Roman"/>
                <w:sz w:val="28"/>
                <w:szCs w:val="28"/>
                <w:lang w:eastAsia="en-US"/>
              </w:rPr>
              <w:lastRenderedPageBreak/>
              <w:t>постійного користування;</w:t>
            </w: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 xml:space="preserve">- об’єкти оподаткування орендною платою </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lastRenderedPageBreak/>
              <w:t>п.271.1.</w:t>
            </w:r>
            <w:r w:rsidRPr="00F143CC">
              <w:rPr>
                <w:rFonts w:ascii="Times New Roman" w:hAnsi="Times New Roman" w:cs="Times New Roman"/>
                <w:sz w:val="26"/>
                <w:szCs w:val="26"/>
                <w:lang w:eastAsia="en-US"/>
              </w:rPr>
              <w:t xml:space="preserve"> Базою оподаткування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6" w:name="n6762"/>
            <w:bookmarkEnd w:id="16"/>
            <w:r w:rsidRPr="00F143CC">
              <w:rPr>
                <w:rFonts w:ascii="Times New Roman" w:hAnsi="Times New Roman" w:cs="Times New Roman"/>
                <w:sz w:val="26"/>
                <w:szCs w:val="26"/>
                <w:lang w:eastAsia="en-US"/>
              </w:rPr>
              <w:t>271.1.1. 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5816B6" w:rsidRPr="00F143CC" w:rsidRDefault="005816B6" w:rsidP="00F143CC">
            <w:pPr>
              <w:spacing w:after="0" w:line="240" w:lineRule="auto"/>
              <w:jc w:val="both"/>
              <w:rPr>
                <w:rFonts w:ascii="Cambria" w:hAnsi="Cambria" w:cs="Times New Roman"/>
                <w:lang w:eastAsia="en-US"/>
              </w:rPr>
            </w:pP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п.271.1.</w:t>
            </w:r>
            <w:r w:rsidRPr="00F143CC">
              <w:rPr>
                <w:rFonts w:ascii="Times New Roman" w:hAnsi="Times New Roman" w:cs="Times New Roman"/>
                <w:sz w:val="26"/>
                <w:szCs w:val="26"/>
                <w:lang w:eastAsia="en-US"/>
              </w:rPr>
              <w:t xml:space="preserve"> Базою оподаткування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271.1.1. нормативна грошова оцінка земельної ділянки з урахуванням коефіцієнта індексації, визначеного відповідно до порядку, встановленого цим розділом;</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271.1.2. площа земельної ділянки, нормативну грошову оцінку якої не проведено.</w:t>
            </w:r>
          </w:p>
          <w:p w:rsidR="005816B6" w:rsidRPr="00F143CC" w:rsidRDefault="005816B6" w:rsidP="00F143CC">
            <w:pPr>
              <w:spacing w:after="0" w:line="240" w:lineRule="auto"/>
              <w:ind w:firstLine="33"/>
              <w:jc w:val="both"/>
              <w:rPr>
                <w:rFonts w:ascii="Cambria" w:hAnsi="Cambria" w:cs="Times New Roman"/>
                <w:b/>
                <w:sz w:val="24"/>
                <w:szCs w:val="24"/>
                <w:lang w:eastAsia="en-US"/>
              </w:rPr>
            </w:pPr>
            <w:r w:rsidRPr="00F143CC">
              <w:rPr>
                <w:rFonts w:ascii="Times New Roman" w:hAnsi="Times New Roman" w:cs="Times New Roman"/>
                <w:b/>
                <w:sz w:val="26"/>
                <w:szCs w:val="26"/>
                <w:lang w:eastAsia="en-US"/>
              </w:rPr>
              <w:t>База оподаткування по земельних частках (паях) визначається згідно із даними земельних ділянок, на які фізичні особи мають право як власники земельних часток (паїв), з урахуванням підпунктів 271.1.1 та 271.1.2 цього пункту</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jc w:val="both"/>
              <w:rPr>
                <w:rFonts w:ascii="Cambria" w:hAnsi="Cambria" w:cs="Times New Roman"/>
                <w:sz w:val="28"/>
                <w:szCs w:val="28"/>
                <w:lang w:eastAsia="en-US"/>
              </w:rPr>
            </w:pP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Наведено порядок визначення бази  оподаткування по земельних частках (паях)</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274. Ставка земельного податку за земельні ділянки, нормативну грошову оцінку яких проведено (незалежно від місцезнаходження)</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17" w:name="n11935"/>
            <w:bookmarkStart w:id="18" w:name="n6777"/>
            <w:bookmarkEnd w:id="17"/>
            <w:bookmarkEnd w:id="18"/>
            <w:r w:rsidRPr="00F143CC">
              <w:rPr>
                <w:rFonts w:ascii="Times New Roman" w:hAnsi="Times New Roman" w:cs="Times New Roman"/>
                <w:sz w:val="26"/>
                <w:szCs w:val="26"/>
                <w:lang w:eastAsia="en-US"/>
              </w:rPr>
              <w:t>274.1.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5816B6" w:rsidRPr="00F143CC" w:rsidRDefault="005816B6" w:rsidP="00F143CC">
            <w:pPr>
              <w:spacing w:after="0" w:line="240" w:lineRule="auto"/>
              <w:ind w:firstLine="33"/>
              <w:jc w:val="both"/>
              <w:rPr>
                <w:rFonts w:ascii="Cambria" w:hAnsi="Cambria" w:cs="Times New Roman"/>
                <w:lang w:eastAsia="en-US"/>
              </w:rPr>
            </w:pPr>
            <w:bookmarkStart w:id="19" w:name="n6778"/>
            <w:bookmarkStart w:id="20" w:name="n11937"/>
            <w:bookmarkEnd w:id="19"/>
            <w:bookmarkEnd w:id="20"/>
            <w:r w:rsidRPr="00F143CC">
              <w:rPr>
                <w:rFonts w:ascii="Times New Roman" w:hAnsi="Times New Roman" w:cs="Times New Roman"/>
                <w:sz w:val="26"/>
                <w:szCs w:val="26"/>
                <w:lang w:eastAsia="en-US"/>
              </w:rPr>
              <w:t xml:space="preserve">274.2.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w:t>
            </w:r>
            <w:r w:rsidRPr="00F143CC">
              <w:rPr>
                <w:rFonts w:ascii="Times New Roman" w:hAnsi="Times New Roman" w:cs="Times New Roman"/>
                <w:sz w:val="26"/>
                <w:szCs w:val="26"/>
                <w:lang w:eastAsia="en-US"/>
              </w:rPr>
              <w:lastRenderedPageBreak/>
              <w:t>державної та комунальної форми власності)</w:t>
            </w:r>
          </w:p>
        </w:tc>
        <w:tc>
          <w:tcPr>
            <w:tcW w:w="6804"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lastRenderedPageBreak/>
              <w:t>Стаття 274. Ставка земельного податку за земельні ділянки, у тому числі право на які фізичні особи мають як власники земельних часток (паїв), нормативну грошову оцінку яких проведено (незалежно від місцезнаходження)</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274.1. Ставка податку за земельні ділянки, </w:t>
            </w:r>
            <w:r w:rsidRPr="00F143CC">
              <w:rPr>
                <w:rFonts w:ascii="Times New Roman" w:hAnsi="Times New Roman" w:cs="Times New Roman"/>
                <w:b/>
                <w:sz w:val="26"/>
                <w:szCs w:val="26"/>
                <w:lang w:eastAsia="en-US"/>
              </w:rPr>
              <w:t>у тому числі право на які фізичні особи мають як власники земельних часток (паїв)</w:t>
            </w:r>
            <w:r w:rsidRPr="00F143CC">
              <w:rPr>
                <w:rFonts w:ascii="Times New Roman" w:hAnsi="Times New Roman" w:cs="Times New Roman"/>
                <w:sz w:val="26"/>
                <w:szCs w:val="26"/>
                <w:lang w:eastAsia="en-US"/>
              </w:rPr>
              <w:t>,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274.2.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 власності)</w:t>
            </w:r>
          </w:p>
          <w:p w:rsidR="005816B6" w:rsidRPr="00F143CC" w:rsidRDefault="005816B6" w:rsidP="00F143CC">
            <w:pPr>
              <w:spacing w:after="0" w:line="240" w:lineRule="auto"/>
              <w:jc w:val="both"/>
              <w:rPr>
                <w:rFonts w:ascii="Cambria" w:hAnsi="Cambria" w:cs="Times New Roman"/>
                <w:sz w:val="24"/>
                <w:szCs w:val="24"/>
                <w:lang w:eastAsia="en-US"/>
              </w:rPr>
            </w:pP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Ставки земельного податку не змінено.</w:t>
            </w: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Уточнено як визначається ставка податку за земельні ділянки, у тому числі право на які фізичні особи мають як власники земельних часток (паїв)</w:t>
            </w:r>
          </w:p>
        </w:tc>
      </w:tr>
      <w:tr w:rsidR="005816B6" w:rsidTr="00F143CC">
        <w:tc>
          <w:tcPr>
            <w:tcW w:w="5387" w:type="dxa"/>
            <w:vAlign w:val="center"/>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lastRenderedPageBreak/>
              <w:t>Стаття 277. Ставки земельного податку за земельні ділянки, нормативну грошову оцінку яких не проведено</w:t>
            </w:r>
          </w:p>
          <w:p w:rsidR="005816B6" w:rsidRPr="00F143CC" w:rsidRDefault="005816B6" w:rsidP="00F143CC">
            <w:pPr>
              <w:spacing w:after="0" w:line="240" w:lineRule="auto"/>
              <w:ind w:firstLine="33"/>
              <w:jc w:val="both"/>
              <w:rPr>
                <w:rFonts w:ascii="Cambria" w:hAnsi="Cambria" w:cs="Times New Roman"/>
                <w:lang w:eastAsia="en-US"/>
              </w:rPr>
            </w:pPr>
            <w:bookmarkStart w:id="21" w:name="n6809"/>
            <w:bookmarkEnd w:id="21"/>
            <w:r w:rsidRPr="00F143CC">
              <w:rPr>
                <w:rFonts w:ascii="Times New Roman" w:hAnsi="Times New Roman" w:cs="Times New Roman"/>
                <w:sz w:val="26"/>
                <w:szCs w:val="26"/>
                <w:lang w:eastAsia="en-US"/>
              </w:rPr>
              <w:t>277.1. 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tc>
        <w:tc>
          <w:tcPr>
            <w:tcW w:w="6804"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277. Ставки земельного податку за земельні ділянки, у тому числі право на які фізичні особи мають як власники земельних часток (паїв), нормативну грошову оцінку яких не проведено</w:t>
            </w:r>
          </w:p>
          <w:p w:rsidR="005816B6" w:rsidRPr="00F143CC" w:rsidRDefault="005816B6" w:rsidP="00F143CC">
            <w:pPr>
              <w:spacing w:after="0" w:line="240" w:lineRule="auto"/>
              <w:ind w:firstLine="33"/>
              <w:jc w:val="both"/>
              <w:rPr>
                <w:rFonts w:ascii="Times New Roman" w:hAnsi="Times New Roman" w:cs="Times New Roman"/>
                <w:sz w:val="28"/>
                <w:szCs w:val="28"/>
                <w:highlight w:val="yellow"/>
                <w:lang w:eastAsia="en-US"/>
              </w:rPr>
            </w:pPr>
            <w:r w:rsidRPr="00F143CC">
              <w:rPr>
                <w:rFonts w:ascii="Times New Roman" w:hAnsi="Times New Roman" w:cs="Times New Roman"/>
                <w:sz w:val="26"/>
                <w:szCs w:val="26"/>
                <w:lang w:eastAsia="en-US"/>
              </w:rPr>
              <w:t>277.1. Ставка податку за земельні ділянки</w:t>
            </w:r>
            <w:r w:rsidRPr="00F143CC">
              <w:rPr>
                <w:rFonts w:ascii="Times New Roman" w:hAnsi="Times New Roman" w:cs="Times New Roman"/>
                <w:b/>
                <w:sz w:val="26"/>
                <w:szCs w:val="26"/>
                <w:lang w:eastAsia="en-US"/>
              </w:rPr>
              <w:t>, у тому числі право на які фізичні особи мають як власники земельних часток (паїв),</w:t>
            </w:r>
            <w:r w:rsidRPr="00F143CC">
              <w:rPr>
                <w:rFonts w:ascii="Times New Roman" w:hAnsi="Times New Roman" w:cs="Times New Roman"/>
                <w:sz w:val="26"/>
                <w:szCs w:val="26"/>
                <w:lang w:eastAsia="en-US"/>
              </w:rPr>
              <w:t xml:space="preserve">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ind w:firstLine="33"/>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Ставки земельного податку не змінено.</w:t>
            </w: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Уточнено як визначається ставка податку за земельні ділянки, у тому числі право на які фізичні особи мають як власники земельних часток (паїв)</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284. Особливості оподаткування платою за землю</w:t>
            </w:r>
          </w:p>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p>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p>
          <w:p w:rsidR="005816B6" w:rsidRPr="00F143CC" w:rsidRDefault="005816B6" w:rsidP="00F143CC">
            <w:pPr>
              <w:spacing w:after="0" w:line="240" w:lineRule="auto"/>
              <w:ind w:firstLine="33"/>
              <w:jc w:val="both"/>
              <w:rPr>
                <w:rFonts w:ascii="Cambria" w:hAnsi="Cambria" w:cs="Times New Roman"/>
                <w:lang w:eastAsia="en-US"/>
              </w:rPr>
            </w:pPr>
            <w:r w:rsidRPr="00F143CC">
              <w:rPr>
                <w:rFonts w:ascii="Times New Roman" w:hAnsi="Times New Roman" w:cs="Times New Roman"/>
                <w:sz w:val="26"/>
                <w:szCs w:val="26"/>
                <w:lang w:eastAsia="en-US"/>
              </w:rPr>
              <w:t>Редакція відсутня</w:t>
            </w:r>
          </w:p>
        </w:tc>
        <w:tc>
          <w:tcPr>
            <w:tcW w:w="6804"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284. Особливості оподаткування платою за землю</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284.5</w:t>
            </w:r>
            <w:r w:rsidRPr="00F143CC">
              <w:rPr>
                <w:rFonts w:ascii="Times New Roman" w:hAnsi="Times New Roman" w:cs="Times New Roman"/>
                <w:sz w:val="26"/>
                <w:szCs w:val="26"/>
                <w:lang w:eastAsia="en-US"/>
              </w:rPr>
              <w:t xml:space="preserve">. Інформація про виділення земельних ділянок у натурі (на місцевості) власникам земельних часток (паїв) на підставі рішень органу місцевого самоврядування, прийнятих </w:t>
            </w:r>
            <w:r w:rsidRPr="00F143CC">
              <w:rPr>
                <w:rFonts w:ascii="Times New Roman" w:hAnsi="Times New Roman" w:cs="Times New Roman"/>
                <w:b/>
                <w:sz w:val="26"/>
                <w:szCs w:val="26"/>
                <w:lang w:eastAsia="en-US"/>
              </w:rPr>
              <w:t>у попередньому році</w:t>
            </w:r>
            <w:r w:rsidRPr="00F143CC">
              <w:rPr>
                <w:rFonts w:ascii="Times New Roman" w:hAnsi="Times New Roman" w:cs="Times New Roman"/>
                <w:sz w:val="26"/>
                <w:szCs w:val="26"/>
                <w:lang w:eastAsia="en-US"/>
              </w:rPr>
              <w:t xml:space="preserve">, надається відповідному контролюючому органу за місцезнаходженням земельних ділянок </w:t>
            </w:r>
            <w:r w:rsidRPr="00F143CC">
              <w:rPr>
                <w:rFonts w:ascii="Times New Roman" w:hAnsi="Times New Roman" w:cs="Times New Roman"/>
                <w:b/>
                <w:sz w:val="26"/>
                <w:szCs w:val="26"/>
                <w:lang w:eastAsia="en-US"/>
              </w:rPr>
              <w:t>до 1 лютого поточного року.</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У разі внесення змін органами місцевого самоврядування до раніше прийнятих рішень органу місцевого самоврядування про виділення земельних ділянок у натурі (на місцевості) власникам земельних часток (паїв) інформація про такі зміни надається відповідному контролюючому органу за місцезнаходженням земельних ділянок </w:t>
            </w:r>
            <w:r w:rsidRPr="00F143CC">
              <w:rPr>
                <w:rFonts w:ascii="Times New Roman" w:hAnsi="Times New Roman" w:cs="Times New Roman"/>
                <w:b/>
                <w:sz w:val="26"/>
                <w:szCs w:val="26"/>
                <w:lang w:eastAsia="en-US"/>
              </w:rPr>
              <w:t>протягом 30 календарних днів з дня їх внесення</w:t>
            </w:r>
            <w:r w:rsidRPr="00F143CC">
              <w:rPr>
                <w:rFonts w:ascii="Times New Roman" w:hAnsi="Times New Roman" w:cs="Times New Roman"/>
                <w:sz w:val="26"/>
                <w:szCs w:val="26"/>
                <w:lang w:eastAsia="en-US"/>
              </w:rPr>
              <w:t>.</w:t>
            </w:r>
          </w:p>
          <w:p w:rsidR="005816B6" w:rsidRPr="00F143CC" w:rsidRDefault="005816B6" w:rsidP="00F143CC">
            <w:pPr>
              <w:spacing w:after="0" w:line="240" w:lineRule="auto"/>
              <w:ind w:firstLine="33"/>
              <w:jc w:val="both"/>
              <w:rPr>
                <w:rFonts w:ascii="Times New Roman" w:hAnsi="Times New Roman" w:cs="Times New Roman"/>
                <w:sz w:val="28"/>
                <w:szCs w:val="28"/>
                <w:highlight w:val="yellow"/>
                <w:lang w:eastAsia="en-US"/>
              </w:rPr>
            </w:pPr>
            <w:r w:rsidRPr="00F143CC">
              <w:rPr>
                <w:rFonts w:ascii="Times New Roman" w:hAnsi="Times New Roman" w:cs="Times New Roman"/>
                <w:sz w:val="26"/>
                <w:szCs w:val="26"/>
                <w:lang w:eastAsia="en-US"/>
              </w:rPr>
              <w:lastRenderedPageBreak/>
              <w:t>Така інформація надається в електронному вигляді у порядку та за формою, затвердженими Кабінетом Міністрів України</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Встановлено терміни надання інформації про виділення земельних ділянок у натурі  власникам земельних часток (паїв) на підставі рішень органу місцевого самоврядування</w:t>
            </w:r>
          </w:p>
          <w:p w:rsidR="005816B6" w:rsidRPr="00F143CC" w:rsidRDefault="005816B6" w:rsidP="00F143CC">
            <w:pPr>
              <w:spacing w:after="0" w:line="240" w:lineRule="auto"/>
              <w:jc w:val="both"/>
              <w:rPr>
                <w:rFonts w:ascii="Times New Roman" w:hAnsi="Times New Roman" w:cs="Times New Roman"/>
                <w:sz w:val="28"/>
                <w:szCs w:val="28"/>
                <w:lang w:eastAsia="en-US"/>
              </w:rPr>
            </w:pPr>
          </w:p>
          <w:p w:rsidR="005816B6" w:rsidRPr="00F143CC" w:rsidRDefault="005816B6" w:rsidP="00F143CC">
            <w:pPr>
              <w:spacing w:after="0" w:line="240" w:lineRule="auto"/>
              <w:jc w:val="both"/>
              <w:rPr>
                <w:rFonts w:ascii="Times New Roman" w:hAnsi="Times New Roman" w:cs="Times New Roman"/>
                <w:b/>
                <w:i/>
                <w:sz w:val="28"/>
                <w:szCs w:val="28"/>
                <w:lang w:eastAsia="en-US"/>
              </w:rPr>
            </w:pPr>
            <w:r w:rsidRPr="00F143CC">
              <w:rPr>
                <w:rFonts w:ascii="Times New Roman" w:hAnsi="Times New Roman" w:cs="Times New Roman"/>
                <w:b/>
                <w:i/>
                <w:sz w:val="28"/>
                <w:szCs w:val="28"/>
                <w:lang w:eastAsia="en-US"/>
              </w:rPr>
              <w:t>Прим. Терміни у 2022 році визначені п.12 підрозділу 6,  розділу ХХ ПКУ</w:t>
            </w:r>
          </w:p>
          <w:p w:rsidR="005816B6" w:rsidRPr="00F143CC" w:rsidRDefault="005816B6" w:rsidP="00F143CC">
            <w:pPr>
              <w:spacing w:after="0" w:line="240" w:lineRule="auto"/>
              <w:jc w:val="both"/>
              <w:rPr>
                <w:rFonts w:ascii="Times New Roman" w:hAnsi="Times New Roman" w:cs="Times New Roman"/>
                <w:sz w:val="28"/>
                <w:szCs w:val="28"/>
                <w:highlight w:val="green"/>
                <w:lang w:eastAsia="en-US"/>
              </w:rPr>
            </w:pPr>
          </w:p>
        </w:tc>
      </w:tr>
      <w:tr w:rsidR="005816B6" w:rsidTr="00F143CC">
        <w:tc>
          <w:tcPr>
            <w:tcW w:w="5387" w:type="dxa"/>
          </w:tcPr>
          <w:p w:rsidR="005816B6" w:rsidRPr="00F143CC" w:rsidRDefault="005816B6" w:rsidP="00F143CC">
            <w:pPr>
              <w:spacing w:after="0" w:line="240" w:lineRule="auto"/>
              <w:ind w:firstLine="33"/>
              <w:jc w:val="both"/>
              <w:rPr>
                <w:rFonts w:ascii="Cambria" w:hAnsi="Cambria" w:cs="Times New Roman"/>
                <w:lang w:eastAsia="en-US"/>
              </w:rPr>
            </w:pPr>
            <w:r w:rsidRPr="00F143CC">
              <w:rPr>
                <w:rFonts w:ascii="Times New Roman" w:hAnsi="Times New Roman" w:cs="Times New Roman"/>
                <w:b/>
                <w:sz w:val="26"/>
                <w:szCs w:val="26"/>
                <w:lang w:eastAsia="en-US"/>
              </w:rPr>
              <w:lastRenderedPageBreak/>
              <w:t>п.286.1.</w:t>
            </w:r>
            <w:r w:rsidRPr="00F143CC">
              <w:rPr>
                <w:rFonts w:ascii="Times New Roman" w:hAnsi="Times New Roman" w:cs="Times New Roman"/>
                <w:sz w:val="26"/>
                <w:szCs w:val="26"/>
                <w:lang w:eastAsia="en-US"/>
              </w:rPr>
              <w:t xml:space="preserve"> Підставою для нарахування земельного податку є дані державного земельного кадастру.</w:t>
            </w: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п.286.1.</w:t>
            </w:r>
            <w:r w:rsidRPr="00F143CC">
              <w:rPr>
                <w:rFonts w:ascii="Times New Roman" w:hAnsi="Times New Roman" w:cs="Times New Roman"/>
                <w:sz w:val="26"/>
                <w:szCs w:val="26"/>
                <w:lang w:eastAsia="en-US"/>
              </w:rPr>
              <w:t xml:space="preserve"> Підставою для нарахування земельного податку є:</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а) дані державного земельного кадастру;</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б) дані Державного реєстру речових прав на нерухоме майно;</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в) дані державних актів, якими посвідчено право власності або право постійного користування земельною ділянкою (державні акти на землю);</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г) дані сертифікатів на право на земельні частки (паї);</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ґ) рішення органу місцевого самоврядування про виділення земельних ділянок у натурі (на місцевості) власникам земельних часток (паїв);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д) дані інших правовстановлюючих документів, якими посвідчується право власності або право користування земельною ділянкою, право на земельні частки (паї).</w:t>
            </w:r>
          </w:p>
          <w:p w:rsidR="005816B6" w:rsidRPr="00F143CC" w:rsidRDefault="005816B6" w:rsidP="00F143CC">
            <w:pPr>
              <w:spacing w:after="0" w:line="240" w:lineRule="auto"/>
              <w:ind w:firstLine="33"/>
              <w:jc w:val="both"/>
              <w:rPr>
                <w:rFonts w:ascii="Times New Roman" w:hAnsi="Times New Roman" w:cs="Times New Roman"/>
                <w:sz w:val="24"/>
                <w:szCs w:val="24"/>
                <w:lang w:eastAsia="en-US"/>
              </w:rPr>
            </w:pPr>
            <w:r w:rsidRPr="00F143CC">
              <w:rPr>
                <w:rFonts w:ascii="Times New Roman" w:hAnsi="Times New Roman" w:cs="Times New Roman"/>
                <w:sz w:val="26"/>
                <w:szCs w:val="26"/>
                <w:lang w:eastAsia="en-US"/>
              </w:rPr>
              <w:t>У разі подання платником податку до контролюючого органу правовстановлюючих документів на земельну ділянку, земельну частку (пай), відомості про які відсутні у базах даних інформаційних систем центрального органу виконавчої влади, що реалізує державну податкову політику, нарахування податку фізичним особам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jc w:val="center"/>
              <w:rPr>
                <w:rFonts w:ascii="Times New Roman" w:hAnsi="Times New Roman" w:cs="Times New Roman"/>
                <w:b/>
                <w:sz w:val="28"/>
                <w:szCs w:val="28"/>
                <w:lang w:eastAsia="en-US"/>
              </w:rPr>
            </w:pPr>
          </w:p>
          <w:p w:rsidR="005816B6" w:rsidRPr="00F143CC" w:rsidRDefault="005816B6" w:rsidP="00F143CC">
            <w:pPr>
              <w:spacing w:after="0" w:line="240" w:lineRule="auto"/>
              <w:jc w:val="both"/>
              <w:rPr>
                <w:rFonts w:ascii="Times New Roman" w:hAnsi="Times New Roman" w:cs="Times New Roman"/>
                <w:sz w:val="28"/>
                <w:szCs w:val="28"/>
                <w:lang w:eastAsia="en-US"/>
              </w:rPr>
            </w:pPr>
            <w:r w:rsidRPr="00F143CC">
              <w:rPr>
                <w:rFonts w:ascii="Times New Roman" w:hAnsi="Times New Roman" w:cs="Times New Roman"/>
                <w:sz w:val="28"/>
                <w:szCs w:val="28"/>
                <w:lang w:eastAsia="en-US"/>
              </w:rPr>
              <w:t>Додані підстави для нарахування земельного податку.</w:t>
            </w: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 xml:space="preserve">Крім даних  державного земельного кадастру, підставою для нарахування земельного податку є також інші правовстановлюючі  документи, якими посвідчується право власності або право користування земельною ділянкою, право на земельні частки (паї) </w:t>
            </w:r>
          </w:p>
        </w:tc>
      </w:tr>
      <w:tr w:rsidR="005816B6" w:rsidTr="00F143CC">
        <w:tc>
          <w:tcPr>
            <w:tcW w:w="5387" w:type="dxa"/>
          </w:tcPr>
          <w:p w:rsidR="005816B6" w:rsidRPr="00F143CC" w:rsidRDefault="005816B6" w:rsidP="00F143CC">
            <w:pPr>
              <w:spacing w:after="0" w:line="240" w:lineRule="auto"/>
              <w:ind w:firstLine="33"/>
              <w:jc w:val="both"/>
              <w:rPr>
                <w:rFonts w:ascii="Cambria" w:hAnsi="Cambria" w:cs="Times New Roman"/>
                <w:lang w:eastAsia="en-US"/>
              </w:rPr>
            </w:pPr>
            <w:bookmarkStart w:id="22" w:name="_GoBack"/>
            <w:bookmarkEnd w:id="22"/>
            <w:r w:rsidRPr="00F143CC">
              <w:rPr>
                <w:rFonts w:ascii="Times New Roman" w:hAnsi="Times New Roman" w:cs="Times New Roman"/>
                <w:b/>
                <w:sz w:val="26"/>
                <w:szCs w:val="26"/>
                <w:lang w:eastAsia="en-US"/>
              </w:rPr>
              <w:t>п.287.2.</w:t>
            </w:r>
            <w:r w:rsidRPr="00F143CC">
              <w:rPr>
                <w:rFonts w:ascii="Times New Roman" w:hAnsi="Times New Roman" w:cs="Times New Roman"/>
                <w:sz w:val="26"/>
                <w:szCs w:val="26"/>
                <w:lang w:eastAsia="en-US"/>
              </w:rPr>
              <w:t xml:space="preserve">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tc>
        <w:tc>
          <w:tcPr>
            <w:tcW w:w="6804" w:type="dxa"/>
          </w:tcPr>
          <w:p w:rsidR="005816B6" w:rsidRPr="00F143CC" w:rsidRDefault="005816B6" w:rsidP="00F143CC">
            <w:pPr>
              <w:spacing w:after="0" w:line="240" w:lineRule="auto"/>
              <w:ind w:firstLine="33"/>
              <w:jc w:val="both"/>
              <w:rPr>
                <w:rFonts w:ascii="Times New Roman" w:hAnsi="Times New Roman" w:cs="Times New Roman"/>
                <w:sz w:val="24"/>
                <w:szCs w:val="24"/>
                <w:lang w:eastAsia="en-US"/>
              </w:rPr>
            </w:pPr>
            <w:r w:rsidRPr="00F143CC">
              <w:rPr>
                <w:rFonts w:ascii="Times New Roman" w:hAnsi="Times New Roman" w:cs="Times New Roman"/>
                <w:b/>
                <w:sz w:val="26"/>
                <w:szCs w:val="26"/>
                <w:lang w:eastAsia="en-US"/>
              </w:rPr>
              <w:t>п.287.2.</w:t>
            </w:r>
            <w:r w:rsidRPr="00F143CC">
              <w:rPr>
                <w:rFonts w:ascii="Times New Roman" w:hAnsi="Times New Roman" w:cs="Times New Roman"/>
                <w:sz w:val="26"/>
                <w:szCs w:val="26"/>
                <w:lang w:eastAsia="en-US"/>
              </w:rPr>
              <w:t xml:space="preserve"> Облік фізичних осіб - платників податку і нарахування відповідних сум проводяться контролюючими органами за місцем знаходження земельної ділянки, </w:t>
            </w:r>
            <w:r w:rsidRPr="00F143CC">
              <w:rPr>
                <w:rFonts w:ascii="Times New Roman" w:hAnsi="Times New Roman" w:cs="Times New Roman"/>
                <w:b/>
                <w:sz w:val="26"/>
                <w:szCs w:val="26"/>
                <w:lang w:eastAsia="en-US"/>
              </w:rPr>
              <w:t>у тому числі право на яку фізична особа має як власник земельної частки (паю),</w:t>
            </w:r>
            <w:r w:rsidRPr="00F143CC">
              <w:rPr>
                <w:rFonts w:ascii="Times New Roman" w:hAnsi="Times New Roman" w:cs="Times New Roman"/>
                <w:sz w:val="26"/>
                <w:szCs w:val="26"/>
                <w:lang w:eastAsia="en-US"/>
              </w:rPr>
              <w:t xml:space="preserve"> щороку до 1 травня</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Нарахування  сум податку  щороку до 1 травня поширено також на власників земельних  часток (паїв)</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lastRenderedPageBreak/>
              <w:t>288.2. Платником орендної плати є орендар земельної ділянки.</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3" w:name="n6915"/>
            <w:bookmarkEnd w:id="23"/>
            <w:r w:rsidRPr="00F143CC">
              <w:rPr>
                <w:rFonts w:ascii="Times New Roman" w:hAnsi="Times New Roman" w:cs="Times New Roman"/>
                <w:sz w:val="26"/>
                <w:szCs w:val="26"/>
                <w:lang w:eastAsia="en-US"/>
              </w:rPr>
              <w:t>288.3. Об'єктом оподаткування є земельна ділянка, надана в оренду.</w:t>
            </w:r>
          </w:p>
          <w:p w:rsidR="005816B6" w:rsidRPr="00F143CC" w:rsidRDefault="005816B6" w:rsidP="00F143CC">
            <w:pPr>
              <w:spacing w:after="0" w:line="240" w:lineRule="auto"/>
              <w:ind w:firstLine="284"/>
              <w:jc w:val="both"/>
              <w:rPr>
                <w:rFonts w:ascii="Cambria" w:hAnsi="Cambria" w:cs="Times New Roman"/>
                <w:lang w:eastAsia="en-US"/>
              </w:rPr>
            </w:pPr>
          </w:p>
        </w:tc>
        <w:tc>
          <w:tcPr>
            <w:tcW w:w="6804" w:type="dxa"/>
          </w:tcPr>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w:t>
            </w:r>
            <w:hyperlink r:id="rId8" w:anchor="n6914" w:tgtFrame="_blank" w:history="1">
              <w:r w:rsidRPr="00F143CC">
                <w:rPr>
                  <w:rFonts w:ascii="Times New Roman" w:hAnsi="Times New Roman" w:cs="Times New Roman"/>
                  <w:sz w:val="26"/>
                  <w:szCs w:val="26"/>
                  <w:lang w:eastAsia="en-US"/>
                </w:rPr>
                <w:t>Пункти 288.2</w:t>
              </w:r>
            </w:hyperlink>
            <w:r w:rsidRPr="00F143CC">
              <w:rPr>
                <w:rFonts w:ascii="Times New Roman" w:hAnsi="Times New Roman" w:cs="Times New Roman"/>
                <w:sz w:val="26"/>
                <w:szCs w:val="26"/>
                <w:lang w:eastAsia="en-US"/>
              </w:rPr>
              <w:t> і </w:t>
            </w:r>
            <w:hyperlink r:id="rId9" w:anchor="n6915" w:tgtFrame="_blank" w:history="1">
              <w:r w:rsidRPr="00F143CC">
                <w:rPr>
                  <w:rFonts w:ascii="Times New Roman" w:hAnsi="Times New Roman" w:cs="Times New Roman"/>
                  <w:sz w:val="26"/>
                  <w:szCs w:val="26"/>
                  <w:lang w:eastAsia="en-US"/>
                </w:rPr>
                <w:t>288.3</w:t>
              </w:r>
            </w:hyperlink>
            <w:r w:rsidRPr="00F143CC">
              <w:rPr>
                <w:rFonts w:ascii="Times New Roman" w:hAnsi="Times New Roman" w:cs="Times New Roman"/>
                <w:sz w:val="26"/>
                <w:szCs w:val="26"/>
                <w:lang w:eastAsia="en-US"/>
              </w:rPr>
              <w:t xml:space="preserve"> статті 288 виключено </w:t>
            </w:r>
          </w:p>
          <w:p w:rsidR="005816B6" w:rsidRPr="00F143CC" w:rsidRDefault="005816B6" w:rsidP="00F143CC">
            <w:pPr>
              <w:spacing w:after="0" w:line="240" w:lineRule="auto"/>
              <w:ind w:firstLine="176"/>
              <w:jc w:val="both"/>
              <w:rPr>
                <w:rFonts w:ascii="Times New Roman" w:hAnsi="Times New Roman" w:cs="Times New Roman"/>
                <w:sz w:val="24"/>
                <w:szCs w:val="24"/>
                <w:lang w:eastAsia="en-US"/>
              </w:rPr>
            </w:pP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Зазначені норми виключені у зв’язку з тим, що такі платники визначені у   п.269.1, а об’єкт оподаткування у ст.270 ПКУ</w:t>
            </w:r>
          </w:p>
        </w:tc>
      </w:tr>
      <w:tr w:rsidR="005816B6" w:rsidTr="00F143CC">
        <w:tc>
          <w:tcPr>
            <w:tcW w:w="5387"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Стаття 289. Індексація нормативної грошової оцінки земель</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4" w:name="n6930"/>
            <w:bookmarkEnd w:id="24"/>
            <w:r w:rsidRPr="00F143CC">
              <w:rPr>
                <w:rFonts w:ascii="Times New Roman" w:hAnsi="Times New Roman" w:cs="Times New Roman"/>
                <w:sz w:val="26"/>
                <w:szCs w:val="26"/>
                <w:lang w:eastAsia="en-US"/>
              </w:rPr>
              <w:t>289.1. Для визначення розміру податку та орендної плати використовується нормативна грошова оцінка земельних ділянок з урахуванням коефіцієнта індексації, визначеного відповідно до законодавства.</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5" w:name="n17106"/>
            <w:bookmarkStart w:id="26" w:name="n6931"/>
            <w:bookmarkEnd w:id="25"/>
            <w:bookmarkEnd w:id="26"/>
            <w:r w:rsidRPr="00F143CC">
              <w:rPr>
                <w:rFonts w:ascii="Times New Roman" w:hAnsi="Times New Roman" w:cs="Times New Roman"/>
                <w:sz w:val="26"/>
                <w:szCs w:val="26"/>
                <w:lang w:eastAsia="en-US"/>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7" w:name="n6932"/>
            <w:bookmarkEnd w:id="27"/>
            <w:r w:rsidRPr="00F143CC">
              <w:rPr>
                <w:rFonts w:ascii="Times New Roman" w:hAnsi="Times New Roman" w:cs="Times New Roman"/>
                <w:sz w:val="26"/>
                <w:szCs w:val="26"/>
                <w:lang w:eastAsia="en-US"/>
              </w:rPr>
              <w:t>289.2.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земель і земельних ділянок на 1 січня поточного року, що визначається за формулою:</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28" w:name="n17107"/>
            <w:bookmarkStart w:id="29" w:name="n6933"/>
            <w:bookmarkEnd w:id="28"/>
            <w:bookmarkEnd w:id="29"/>
            <w:proofErr w:type="spellStart"/>
            <w:r w:rsidRPr="00F143CC">
              <w:rPr>
                <w:rFonts w:ascii="Times New Roman" w:hAnsi="Times New Roman" w:cs="Times New Roman"/>
                <w:sz w:val="26"/>
                <w:szCs w:val="26"/>
                <w:lang w:eastAsia="en-US"/>
              </w:rPr>
              <w:t>Кi</w:t>
            </w:r>
            <w:proofErr w:type="spellEnd"/>
            <w:r w:rsidRPr="00F143CC">
              <w:rPr>
                <w:rFonts w:ascii="Times New Roman" w:hAnsi="Times New Roman" w:cs="Times New Roman"/>
                <w:sz w:val="26"/>
                <w:szCs w:val="26"/>
                <w:lang w:eastAsia="en-US"/>
              </w:rPr>
              <w:t xml:space="preserve"> = І:100,</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30" w:name="n6934"/>
            <w:bookmarkEnd w:id="30"/>
            <w:r w:rsidRPr="00F143CC">
              <w:rPr>
                <w:rFonts w:ascii="Times New Roman" w:hAnsi="Times New Roman" w:cs="Times New Roman"/>
                <w:sz w:val="26"/>
                <w:szCs w:val="26"/>
                <w:lang w:eastAsia="en-US"/>
              </w:rPr>
              <w:t>де І - індекс споживчих цін за попередній рік.</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bookmarkStart w:id="31" w:name="n6935"/>
            <w:bookmarkEnd w:id="31"/>
            <w:r w:rsidRPr="00F143CC">
              <w:rPr>
                <w:rFonts w:ascii="Times New Roman" w:hAnsi="Times New Roman" w:cs="Times New Roman"/>
                <w:sz w:val="26"/>
                <w:szCs w:val="26"/>
                <w:lang w:eastAsia="en-US"/>
              </w:rPr>
              <w:t>У разі якщо індекс споживчих цін перевищує 115 відсотків, такий індекс застосовується із значенням 115.</w:t>
            </w:r>
          </w:p>
          <w:p w:rsidR="005816B6" w:rsidRPr="00F143CC" w:rsidRDefault="005816B6" w:rsidP="00F143CC">
            <w:pPr>
              <w:spacing w:after="0" w:line="240" w:lineRule="auto"/>
              <w:ind w:firstLine="33"/>
              <w:jc w:val="both"/>
              <w:rPr>
                <w:rFonts w:ascii="Cambria" w:hAnsi="Cambria" w:cs="Times New Roman"/>
                <w:lang w:eastAsia="en-US"/>
              </w:rPr>
            </w:pPr>
            <w:bookmarkStart w:id="32" w:name="n14403"/>
            <w:bookmarkStart w:id="33" w:name="n6936"/>
            <w:bookmarkEnd w:id="32"/>
            <w:bookmarkEnd w:id="33"/>
            <w:r w:rsidRPr="00F143CC">
              <w:rPr>
                <w:rFonts w:ascii="Times New Roman" w:hAnsi="Times New Roman" w:cs="Times New Roman"/>
                <w:sz w:val="26"/>
                <w:szCs w:val="26"/>
                <w:lang w:eastAsia="en-US"/>
              </w:rPr>
              <w:t xml:space="preserve">Коефіцієнт індексації нормативної грошової оцінки земель застосовується </w:t>
            </w:r>
            <w:proofErr w:type="spellStart"/>
            <w:r w:rsidRPr="00F143CC">
              <w:rPr>
                <w:rFonts w:ascii="Times New Roman" w:hAnsi="Times New Roman" w:cs="Times New Roman"/>
                <w:sz w:val="26"/>
                <w:szCs w:val="26"/>
                <w:lang w:eastAsia="en-US"/>
              </w:rPr>
              <w:t>кумулятивно</w:t>
            </w:r>
            <w:proofErr w:type="spellEnd"/>
            <w:r w:rsidRPr="00F143CC">
              <w:rPr>
                <w:rFonts w:ascii="Times New Roman" w:hAnsi="Times New Roman" w:cs="Times New Roman"/>
                <w:sz w:val="26"/>
                <w:szCs w:val="26"/>
                <w:lang w:eastAsia="en-US"/>
              </w:rPr>
              <w:t xml:space="preserve"> </w:t>
            </w:r>
            <w:r w:rsidRPr="00F143CC">
              <w:rPr>
                <w:rFonts w:ascii="Times New Roman" w:hAnsi="Times New Roman" w:cs="Times New Roman"/>
                <w:sz w:val="26"/>
                <w:szCs w:val="26"/>
                <w:lang w:eastAsia="en-US"/>
              </w:rPr>
              <w:lastRenderedPageBreak/>
              <w:t>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w:t>
            </w:r>
            <w:bookmarkStart w:id="34" w:name="n17108"/>
            <w:bookmarkStart w:id="35" w:name="n6937"/>
            <w:bookmarkEnd w:id="34"/>
            <w:bookmarkEnd w:id="35"/>
          </w:p>
        </w:tc>
        <w:tc>
          <w:tcPr>
            <w:tcW w:w="6804" w:type="dxa"/>
          </w:tcPr>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lastRenderedPageBreak/>
              <w:t>Стаття 289. Індексація нормативної грошової оцінки земель</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289.1. Для визначення розміру податку та орендної плати використовується нормативна грошова оцінка земельних ділянок, </w:t>
            </w:r>
            <w:r w:rsidRPr="00F143CC">
              <w:rPr>
                <w:rFonts w:ascii="Times New Roman" w:hAnsi="Times New Roman" w:cs="Times New Roman"/>
                <w:b/>
                <w:sz w:val="26"/>
                <w:szCs w:val="26"/>
                <w:lang w:eastAsia="en-US"/>
              </w:rPr>
              <w:t>у тому числі право на які фізичні особи мають як власники земельних часток (паїв),</w:t>
            </w:r>
            <w:r w:rsidRPr="00F143CC">
              <w:rPr>
                <w:rFonts w:ascii="Times New Roman" w:hAnsi="Times New Roman" w:cs="Times New Roman"/>
                <w:sz w:val="26"/>
                <w:szCs w:val="26"/>
                <w:lang w:eastAsia="en-US"/>
              </w:rPr>
              <w:t xml:space="preserve"> з урахуванням коефіцієнта індексації, визначеного відповідно до законодавства.</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289.2.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w:t>
            </w:r>
            <w:proofErr w:type="spellStart"/>
            <w:r w:rsidRPr="00F143CC">
              <w:rPr>
                <w:rFonts w:ascii="Times New Roman" w:hAnsi="Times New Roman" w:cs="Times New Roman"/>
                <w:sz w:val="26"/>
                <w:szCs w:val="26"/>
                <w:lang w:eastAsia="en-US"/>
              </w:rPr>
              <w:t>Кі</w:t>
            </w:r>
            <w:proofErr w:type="spellEnd"/>
            <w:r w:rsidRPr="00F143CC">
              <w:rPr>
                <w:rFonts w:ascii="Times New Roman" w:hAnsi="Times New Roman" w:cs="Times New Roman"/>
                <w:sz w:val="26"/>
                <w:szCs w:val="26"/>
                <w:lang w:eastAsia="en-US"/>
              </w:rPr>
              <w:t xml:space="preserve">), на який індексується нормативна грошова оцінка </w:t>
            </w:r>
            <w:r w:rsidRPr="00F143CC">
              <w:rPr>
                <w:rFonts w:ascii="Times New Roman" w:hAnsi="Times New Roman" w:cs="Times New Roman"/>
                <w:b/>
                <w:sz w:val="26"/>
                <w:szCs w:val="26"/>
                <w:lang w:eastAsia="en-US"/>
              </w:rPr>
              <w:t>земель і земельних ділянок, у тому числі право на які фізичні особи мають як власники земельних часток (паїв)</w:t>
            </w:r>
            <w:r w:rsidRPr="00F143CC">
              <w:rPr>
                <w:rFonts w:ascii="Times New Roman" w:hAnsi="Times New Roman" w:cs="Times New Roman"/>
                <w:sz w:val="26"/>
                <w:szCs w:val="26"/>
                <w:lang w:eastAsia="en-US"/>
              </w:rPr>
              <w:t>, на 1 січня поточного року, що визначається за формулою:</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proofErr w:type="spellStart"/>
            <w:r w:rsidRPr="00F143CC">
              <w:rPr>
                <w:rFonts w:ascii="Times New Roman" w:hAnsi="Times New Roman" w:cs="Times New Roman"/>
                <w:sz w:val="26"/>
                <w:szCs w:val="26"/>
                <w:lang w:eastAsia="en-US"/>
              </w:rPr>
              <w:t>Кi</w:t>
            </w:r>
            <w:proofErr w:type="spellEnd"/>
            <w:r w:rsidRPr="00F143CC">
              <w:rPr>
                <w:rFonts w:ascii="Times New Roman" w:hAnsi="Times New Roman" w:cs="Times New Roman"/>
                <w:sz w:val="26"/>
                <w:szCs w:val="26"/>
                <w:lang w:eastAsia="en-US"/>
              </w:rPr>
              <w:t xml:space="preserve"> = І:100,</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де І - індекс споживчих цін за попередній рік.</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У разі якщо індекс споживчих цін перевищує 115 відсотків, такий індекс застосовується із значенням 115.</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Коефіцієнт індексації нормативної грошової оцінки земель застосовується </w:t>
            </w:r>
            <w:proofErr w:type="spellStart"/>
            <w:r w:rsidRPr="00F143CC">
              <w:rPr>
                <w:rFonts w:ascii="Times New Roman" w:hAnsi="Times New Roman" w:cs="Times New Roman"/>
                <w:sz w:val="26"/>
                <w:szCs w:val="26"/>
                <w:lang w:eastAsia="en-US"/>
              </w:rPr>
              <w:t>кумулятивно</w:t>
            </w:r>
            <w:proofErr w:type="spellEnd"/>
            <w:r w:rsidRPr="00F143CC">
              <w:rPr>
                <w:rFonts w:ascii="Times New Roman" w:hAnsi="Times New Roman" w:cs="Times New Roman"/>
                <w:sz w:val="26"/>
                <w:szCs w:val="26"/>
                <w:lang w:eastAsia="en-US"/>
              </w:rPr>
              <w:t xml:space="preserve"> залежно від дати проведення нормативної грошової оцінки земель, </w:t>
            </w:r>
            <w:r w:rsidRPr="00F143CC">
              <w:rPr>
                <w:rFonts w:ascii="Times New Roman" w:hAnsi="Times New Roman" w:cs="Times New Roman"/>
                <w:sz w:val="26"/>
                <w:szCs w:val="26"/>
                <w:lang w:eastAsia="en-US"/>
              </w:rPr>
              <w:lastRenderedPageBreak/>
              <w:t>зазначеної в технічній документації з нормативної грошової оцінки земель та земельних ділянок.</w:t>
            </w:r>
          </w:p>
          <w:p w:rsidR="005816B6" w:rsidRPr="00F143CC" w:rsidRDefault="005816B6" w:rsidP="00F143CC">
            <w:pPr>
              <w:spacing w:after="0" w:line="240" w:lineRule="auto"/>
              <w:ind w:firstLine="33"/>
              <w:jc w:val="both"/>
              <w:rPr>
                <w:rFonts w:ascii="Times New Roman" w:hAnsi="Times New Roman" w:cs="Times New Roman"/>
                <w:sz w:val="24"/>
                <w:szCs w:val="24"/>
                <w:lang w:eastAsia="en-US"/>
              </w:rPr>
            </w:pP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jc w:val="both"/>
              <w:rPr>
                <w:rFonts w:ascii="Cambria" w:hAnsi="Cambria" w:cs="Times New Roman"/>
                <w:sz w:val="28"/>
                <w:szCs w:val="28"/>
                <w:lang w:eastAsia="en-US"/>
              </w:rPr>
            </w:pP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 xml:space="preserve">Для визначення розміру податку та орендної плати використовується нормативна грошова оцінка земельних ділянок, </w:t>
            </w:r>
            <w:r w:rsidRPr="00F143CC">
              <w:rPr>
                <w:rFonts w:ascii="Times New Roman" w:hAnsi="Times New Roman" w:cs="Times New Roman"/>
                <w:b/>
                <w:sz w:val="28"/>
                <w:szCs w:val="28"/>
                <w:lang w:eastAsia="en-US"/>
              </w:rPr>
              <w:t>у тому числі право на які фізичні особи мають як власники земельних часток (паїв)</w:t>
            </w:r>
          </w:p>
        </w:tc>
      </w:tr>
      <w:tr w:rsidR="005816B6" w:rsidTr="00F143CC">
        <w:tc>
          <w:tcPr>
            <w:tcW w:w="5387" w:type="dxa"/>
          </w:tcPr>
          <w:p w:rsidR="005816B6" w:rsidRPr="00F143CC" w:rsidRDefault="005816B6" w:rsidP="00F143CC">
            <w:pPr>
              <w:spacing w:after="0" w:line="240" w:lineRule="auto"/>
              <w:ind w:firstLine="33"/>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lastRenderedPageBreak/>
              <w:t>Підрозділ 6. Особливості справляння плати за землю, розділ ХХ</w:t>
            </w:r>
          </w:p>
          <w:p w:rsidR="005816B6" w:rsidRPr="00F143CC" w:rsidRDefault="005816B6" w:rsidP="00F143CC">
            <w:pPr>
              <w:spacing w:after="0" w:line="240" w:lineRule="auto"/>
              <w:ind w:firstLine="33"/>
              <w:jc w:val="both"/>
              <w:rPr>
                <w:rFonts w:ascii="Cambria" w:hAnsi="Cambria" w:cs="Times New Roman"/>
                <w:lang w:eastAsia="en-US"/>
              </w:rPr>
            </w:pPr>
            <w:r w:rsidRPr="00F143CC">
              <w:rPr>
                <w:rFonts w:ascii="Times New Roman" w:hAnsi="Times New Roman" w:cs="Times New Roman"/>
                <w:b/>
                <w:sz w:val="26"/>
                <w:szCs w:val="26"/>
                <w:lang w:eastAsia="en-US"/>
              </w:rPr>
              <w:t>п.9.</w:t>
            </w:r>
            <w:r w:rsidRPr="00F143CC">
              <w:rPr>
                <w:rFonts w:ascii="Times New Roman" w:hAnsi="Times New Roman" w:cs="Times New Roman"/>
                <w:sz w:val="26"/>
                <w:szCs w:val="26"/>
                <w:lang w:eastAsia="en-US"/>
              </w:rPr>
              <w:t xml:space="preserve"> Установити, що індекс споживчих цін за 2017-2023 роки,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застосовується із значенням 100 відсотків.</w:t>
            </w:r>
          </w:p>
        </w:tc>
        <w:tc>
          <w:tcPr>
            <w:tcW w:w="6804" w:type="dxa"/>
          </w:tcPr>
          <w:p w:rsidR="005816B6" w:rsidRPr="00F143CC" w:rsidRDefault="005816B6" w:rsidP="00F143CC">
            <w:pPr>
              <w:spacing w:after="0" w:line="240" w:lineRule="auto"/>
              <w:ind w:firstLine="33"/>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Підрозділ 6. Особливості справляння плати за землю, розділ ХХ</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b/>
                <w:sz w:val="26"/>
                <w:szCs w:val="26"/>
                <w:lang w:eastAsia="en-US"/>
              </w:rPr>
              <w:t>п.9.</w:t>
            </w:r>
            <w:r w:rsidRPr="00F143CC">
              <w:rPr>
                <w:rFonts w:ascii="Times New Roman" w:hAnsi="Times New Roman" w:cs="Times New Roman"/>
                <w:sz w:val="26"/>
                <w:szCs w:val="26"/>
                <w:lang w:eastAsia="en-US"/>
              </w:rPr>
              <w:t>Установити, що індекс споживчих цін, що використовується для визначення коефіцієнта індексації нормативної грошової оцінки земель, застосовується із значенням 100 відсотків:</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за 2017-2022 роки - для сільськогосподарських угідь (ріллі, багаторічних насаджень, сіножатей, пасовищ та перелогів);</w:t>
            </w:r>
          </w:p>
          <w:p w:rsidR="005816B6" w:rsidRPr="00F143CC" w:rsidRDefault="005816B6" w:rsidP="00F143CC">
            <w:pPr>
              <w:spacing w:after="0" w:line="240" w:lineRule="auto"/>
              <w:ind w:firstLine="33"/>
              <w:jc w:val="both"/>
              <w:rPr>
                <w:rFonts w:ascii="Times New Roman" w:hAnsi="Times New Roman" w:cs="Times New Roman"/>
                <w:sz w:val="24"/>
                <w:szCs w:val="24"/>
                <w:lang w:eastAsia="en-US"/>
              </w:rPr>
            </w:pPr>
            <w:r w:rsidRPr="00F143CC">
              <w:rPr>
                <w:rFonts w:ascii="Times New Roman" w:hAnsi="Times New Roman" w:cs="Times New Roman"/>
                <w:sz w:val="26"/>
                <w:szCs w:val="26"/>
                <w:lang w:eastAsia="en-US"/>
              </w:rPr>
              <w:t>за 2017-2020 роки - для земель населених пунктів та інших земель несільськогосподарського призначення</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t>Набирає чинності з 1 січня 2022 року</w:t>
            </w:r>
          </w:p>
          <w:p w:rsidR="005816B6" w:rsidRPr="00F143CC" w:rsidRDefault="005816B6" w:rsidP="00F143CC">
            <w:pPr>
              <w:spacing w:after="0" w:line="240" w:lineRule="auto"/>
              <w:rPr>
                <w:rFonts w:ascii="Cambria" w:hAnsi="Cambria" w:cs="Times New Roman"/>
                <w:sz w:val="28"/>
                <w:szCs w:val="28"/>
                <w:lang w:eastAsia="en-US"/>
              </w:rPr>
            </w:pPr>
          </w:p>
          <w:p w:rsidR="005816B6" w:rsidRPr="00F143CC" w:rsidRDefault="005816B6" w:rsidP="00F143CC">
            <w:pPr>
              <w:spacing w:after="0" w:line="240" w:lineRule="auto"/>
              <w:ind w:firstLine="33"/>
              <w:jc w:val="both"/>
              <w:rPr>
                <w:rFonts w:ascii="Cambria" w:hAnsi="Cambria" w:cs="Times New Roman"/>
                <w:sz w:val="28"/>
                <w:szCs w:val="28"/>
                <w:lang w:eastAsia="en-US"/>
              </w:rPr>
            </w:pPr>
            <w:r w:rsidRPr="00F143CC">
              <w:rPr>
                <w:rFonts w:ascii="Times New Roman" w:hAnsi="Times New Roman" w:cs="Times New Roman"/>
                <w:sz w:val="28"/>
                <w:szCs w:val="28"/>
                <w:lang w:eastAsia="en-US"/>
              </w:rPr>
              <w:t>Уточнено як застосовується індекс споживчих цін, що використовується для визначення коефіцієнта індексації нормативної грошової оцінки земель</w:t>
            </w:r>
          </w:p>
        </w:tc>
      </w:tr>
      <w:tr w:rsidR="005816B6" w:rsidTr="00F143CC">
        <w:tc>
          <w:tcPr>
            <w:tcW w:w="5387" w:type="dxa"/>
          </w:tcPr>
          <w:p w:rsidR="005816B6" w:rsidRPr="00F143CC" w:rsidRDefault="005816B6" w:rsidP="00F143CC">
            <w:pPr>
              <w:spacing w:after="0" w:line="240" w:lineRule="auto"/>
              <w:ind w:firstLine="33"/>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Підрозділ 6. Особливості справляння плати за землю, розділ ХХ</w:t>
            </w:r>
          </w:p>
          <w:p w:rsidR="005816B6" w:rsidRPr="00F143CC" w:rsidRDefault="005816B6" w:rsidP="00F143CC">
            <w:pPr>
              <w:spacing w:after="0" w:line="240" w:lineRule="auto"/>
              <w:rPr>
                <w:rFonts w:ascii="Cambria" w:hAnsi="Cambria" w:cs="Times New Roman"/>
                <w:lang w:eastAsia="en-US"/>
              </w:rPr>
            </w:pPr>
          </w:p>
          <w:p w:rsidR="005816B6" w:rsidRPr="00F143CC" w:rsidRDefault="005816B6" w:rsidP="00F143CC">
            <w:pPr>
              <w:spacing w:after="0" w:line="240" w:lineRule="auto"/>
              <w:rPr>
                <w:rFonts w:ascii="Cambria" w:hAnsi="Cambria" w:cs="Times New Roman"/>
                <w:lang w:eastAsia="en-US"/>
              </w:rPr>
            </w:pP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p>
          <w:p w:rsidR="005816B6" w:rsidRPr="00F143CC" w:rsidRDefault="005816B6" w:rsidP="00F143CC">
            <w:pPr>
              <w:spacing w:after="0" w:line="240" w:lineRule="auto"/>
              <w:ind w:firstLine="33"/>
              <w:jc w:val="both"/>
              <w:rPr>
                <w:rFonts w:ascii="Cambria" w:hAnsi="Cambria" w:cs="Times New Roman"/>
                <w:lang w:eastAsia="en-US"/>
              </w:rPr>
            </w:pPr>
            <w:r w:rsidRPr="00F143CC">
              <w:rPr>
                <w:rFonts w:ascii="Times New Roman" w:hAnsi="Times New Roman" w:cs="Times New Roman"/>
                <w:sz w:val="26"/>
                <w:szCs w:val="26"/>
                <w:lang w:eastAsia="en-US"/>
              </w:rPr>
              <w:t>Редакція відсутня</w:t>
            </w:r>
          </w:p>
        </w:tc>
        <w:tc>
          <w:tcPr>
            <w:tcW w:w="6804" w:type="dxa"/>
          </w:tcPr>
          <w:p w:rsidR="005816B6" w:rsidRPr="00F143CC" w:rsidRDefault="005816B6" w:rsidP="00F143CC">
            <w:pPr>
              <w:spacing w:after="0" w:line="240" w:lineRule="auto"/>
              <w:ind w:firstLine="33"/>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Підрозділ 6. Особливості справляння плати за землю, розділ ХХ</w:t>
            </w:r>
          </w:p>
          <w:p w:rsidR="005816B6" w:rsidRPr="00F143CC" w:rsidRDefault="005816B6" w:rsidP="00F143CC">
            <w:pPr>
              <w:spacing w:after="0" w:line="240" w:lineRule="auto"/>
              <w:ind w:firstLine="33"/>
              <w:jc w:val="both"/>
              <w:rPr>
                <w:rFonts w:ascii="Times New Roman" w:hAnsi="Times New Roman" w:cs="Times New Roman"/>
                <w:b/>
                <w:sz w:val="26"/>
                <w:szCs w:val="26"/>
                <w:lang w:eastAsia="en-US"/>
              </w:rPr>
            </w:pPr>
            <w:r w:rsidRPr="00F143CC">
              <w:rPr>
                <w:rFonts w:ascii="Times New Roman" w:hAnsi="Times New Roman" w:cs="Times New Roman"/>
                <w:b/>
                <w:sz w:val="26"/>
                <w:szCs w:val="26"/>
                <w:lang w:eastAsia="en-US"/>
              </w:rPr>
              <w:t>п.12</w:t>
            </w:r>
            <w:r w:rsidRPr="00F143CC">
              <w:rPr>
                <w:rFonts w:ascii="Times New Roman" w:hAnsi="Times New Roman" w:cs="Times New Roman"/>
                <w:sz w:val="26"/>
                <w:szCs w:val="26"/>
                <w:lang w:eastAsia="en-US"/>
              </w:rPr>
              <w:t xml:space="preserve">. Установити, що у 2022 році інформація щодо рішень органу місцевого самоврядування, прийнятих </w:t>
            </w:r>
            <w:r w:rsidRPr="00F143CC">
              <w:rPr>
                <w:rFonts w:ascii="Times New Roman" w:hAnsi="Times New Roman" w:cs="Times New Roman"/>
                <w:b/>
                <w:sz w:val="26"/>
                <w:szCs w:val="26"/>
                <w:lang w:eastAsia="en-US"/>
              </w:rPr>
              <w:t>до 1 січня 2022 року</w:t>
            </w:r>
            <w:r w:rsidRPr="00F143CC">
              <w:rPr>
                <w:rFonts w:ascii="Times New Roman" w:hAnsi="Times New Roman" w:cs="Times New Roman"/>
                <w:sz w:val="26"/>
                <w:szCs w:val="26"/>
                <w:lang w:eastAsia="en-US"/>
              </w:rPr>
              <w:t xml:space="preserve">, про виділення земельних ділянок у натурі (на місцевості) власникам земельних часток (паїв), передбачена пунктом 284.5 статті 284 цього Кодексу, надається відповідному контролюючому органу за місцезнаходженням таких земельних ділянок у строк </w:t>
            </w:r>
            <w:r w:rsidRPr="00F143CC">
              <w:rPr>
                <w:rFonts w:ascii="Times New Roman" w:hAnsi="Times New Roman" w:cs="Times New Roman"/>
                <w:b/>
                <w:sz w:val="26"/>
                <w:szCs w:val="26"/>
                <w:lang w:eastAsia="en-US"/>
              </w:rPr>
              <w:t>до 1 липня 2022 року.</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Нарахування фізичним особам сум земельного податку на підставі рішень, зазначених в абзаці першому цього пункту, проводиться контролюючими органами за місцезнаходженням земельної ділянки, які надсилають (вручають) платникові податкове повідомлення-рішення про внесення податку </w:t>
            </w:r>
            <w:r w:rsidRPr="00F143CC">
              <w:rPr>
                <w:rFonts w:ascii="Times New Roman" w:hAnsi="Times New Roman" w:cs="Times New Roman"/>
                <w:b/>
                <w:sz w:val="26"/>
                <w:szCs w:val="26"/>
                <w:lang w:eastAsia="en-US"/>
              </w:rPr>
              <w:t>до 1 жовтня 2022 року</w:t>
            </w:r>
            <w:r w:rsidRPr="00F143CC">
              <w:rPr>
                <w:rFonts w:ascii="Times New Roman" w:hAnsi="Times New Roman" w:cs="Times New Roman"/>
                <w:sz w:val="26"/>
                <w:szCs w:val="26"/>
                <w:lang w:eastAsia="en-US"/>
              </w:rPr>
              <w:t>. Земельний податок фізичними особами сплачується протягом 60 днів з дня вручення податкового повідомлення-рішення.</w:t>
            </w:r>
          </w:p>
          <w:p w:rsidR="005816B6" w:rsidRPr="00F143CC" w:rsidRDefault="005816B6" w:rsidP="00F143CC">
            <w:pPr>
              <w:spacing w:after="0" w:line="240" w:lineRule="auto"/>
              <w:ind w:firstLine="33"/>
              <w:jc w:val="both"/>
              <w:rPr>
                <w:rFonts w:ascii="Times New Roman" w:hAnsi="Times New Roman" w:cs="Times New Roman"/>
                <w:sz w:val="26"/>
                <w:szCs w:val="26"/>
                <w:lang w:eastAsia="en-US"/>
              </w:rPr>
            </w:pPr>
            <w:r w:rsidRPr="00F143CC">
              <w:rPr>
                <w:rFonts w:ascii="Times New Roman" w:hAnsi="Times New Roman" w:cs="Times New Roman"/>
                <w:sz w:val="26"/>
                <w:szCs w:val="26"/>
                <w:lang w:eastAsia="en-US"/>
              </w:rPr>
              <w:t xml:space="preserve">Першим звітним (податковим) періодом для нарахування </w:t>
            </w:r>
            <w:r w:rsidRPr="00F143CC">
              <w:rPr>
                <w:rFonts w:ascii="Times New Roman" w:hAnsi="Times New Roman" w:cs="Times New Roman"/>
                <w:sz w:val="26"/>
                <w:szCs w:val="26"/>
                <w:lang w:eastAsia="en-US"/>
              </w:rPr>
              <w:lastRenderedPageBreak/>
              <w:t>земельного податку за земельні ділянки державної та комунальної власності на підставі рішень органів місцевого самоврядування про виділення земельної ділянки у натурі (на місцевості) власнику земельної частки (паю), прийнятих до 1 січня 2022 року, вважається 2022 рік.</w:t>
            </w:r>
          </w:p>
          <w:p w:rsidR="005816B6" w:rsidRPr="00F143CC" w:rsidRDefault="005816B6" w:rsidP="00F143CC">
            <w:pPr>
              <w:spacing w:after="0" w:line="240" w:lineRule="auto"/>
              <w:ind w:firstLine="33"/>
              <w:jc w:val="both"/>
              <w:rPr>
                <w:rFonts w:ascii="Times New Roman" w:hAnsi="Times New Roman" w:cs="Times New Roman"/>
                <w:sz w:val="24"/>
                <w:szCs w:val="24"/>
                <w:lang w:eastAsia="en-US"/>
              </w:rPr>
            </w:pPr>
            <w:r w:rsidRPr="00F143CC">
              <w:rPr>
                <w:rFonts w:ascii="Times New Roman" w:hAnsi="Times New Roman" w:cs="Times New Roman"/>
                <w:sz w:val="26"/>
                <w:szCs w:val="26"/>
                <w:lang w:eastAsia="en-US"/>
              </w:rPr>
              <w:t>Нарахування фізичним особам сум земельного податку на підставі рішень, зазначених в абзаці першому цього пункту, завершується звітним (податковим) періодом, що передує строку, визначеному </w:t>
            </w:r>
            <w:hyperlink r:id="rId10" w:anchor="n105" w:tgtFrame="_blank" w:history="1">
              <w:r w:rsidRPr="00F143CC">
                <w:rPr>
                  <w:rFonts w:ascii="Times New Roman" w:hAnsi="Times New Roman" w:cs="Times New Roman"/>
                  <w:sz w:val="26"/>
                  <w:szCs w:val="26"/>
                  <w:lang w:eastAsia="en-US"/>
                </w:rPr>
                <w:t>частиною четвертою</w:t>
              </w:r>
            </w:hyperlink>
            <w:r w:rsidRPr="00F143CC">
              <w:rPr>
                <w:rFonts w:ascii="Times New Roman" w:hAnsi="Times New Roman" w:cs="Times New Roman"/>
                <w:sz w:val="26"/>
                <w:szCs w:val="26"/>
                <w:lang w:eastAsia="en-US"/>
              </w:rPr>
              <w:t> статті 13 Закону України "Про порядок виділення в натурі (на місцевості) земельних ділянок власникам земельних часток (паїв)" для оформлення права власності на земельну ділянку (з урахуванням положень частини шостої зазначеної статті)</w:t>
            </w:r>
          </w:p>
        </w:tc>
        <w:tc>
          <w:tcPr>
            <w:tcW w:w="3686" w:type="dxa"/>
          </w:tcPr>
          <w:p w:rsidR="005816B6" w:rsidRPr="00F143CC" w:rsidRDefault="005816B6" w:rsidP="00F143CC">
            <w:pPr>
              <w:spacing w:after="0" w:line="240" w:lineRule="auto"/>
              <w:jc w:val="center"/>
              <w:rPr>
                <w:rFonts w:ascii="Times New Roman" w:hAnsi="Times New Roman" w:cs="Times New Roman"/>
                <w:b/>
                <w:sz w:val="28"/>
                <w:szCs w:val="28"/>
                <w:lang w:eastAsia="en-US"/>
              </w:rPr>
            </w:pPr>
            <w:r w:rsidRPr="00F143CC">
              <w:rPr>
                <w:rFonts w:ascii="Times New Roman" w:hAnsi="Times New Roman" w:cs="Times New Roman"/>
                <w:b/>
                <w:sz w:val="28"/>
                <w:szCs w:val="28"/>
                <w:lang w:eastAsia="en-US"/>
              </w:rPr>
              <w:lastRenderedPageBreak/>
              <w:t>Набирає чинності з 1 січня 2022 року</w:t>
            </w:r>
          </w:p>
          <w:p w:rsidR="005816B6" w:rsidRPr="00F143CC" w:rsidRDefault="005816B6" w:rsidP="00F143CC">
            <w:pPr>
              <w:spacing w:after="0" w:line="240" w:lineRule="auto"/>
              <w:ind w:firstLine="33"/>
              <w:jc w:val="both"/>
              <w:rPr>
                <w:rFonts w:ascii="Times New Roman" w:hAnsi="Times New Roman" w:cs="Times New Roman"/>
                <w:b/>
                <w:sz w:val="28"/>
                <w:szCs w:val="28"/>
                <w:lang w:eastAsia="en-US"/>
              </w:rPr>
            </w:pPr>
            <w:r w:rsidRPr="00F143CC">
              <w:rPr>
                <w:rFonts w:ascii="Times New Roman" w:hAnsi="Times New Roman" w:cs="Times New Roman"/>
                <w:sz w:val="28"/>
                <w:szCs w:val="28"/>
                <w:lang w:eastAsia="en-US"/>
              </w:rPr>
              <w:t xml:space="preserve">- Встановлено терміни надання інформації про виділення земельних ділянок у натурі  власникам земельних часток (паїв) на підставі рішень органу місцевого самоврядування прийнятих до 1 січня 2022 </w:t>
            </w:r>
            <w:proofErr w:type="spellStart"/>
            <w:r w:rsidRPr="00F143CC">
              <w:rPr>
                <w:rFonts w:ascii="Times New Roman" w:hAnsi="Times New Roman" w:cs="Times New Roman"/>
                <w:sz w:val="28"/>
                <w:szCs w:val="28"/>
                <w:lang w:eastAsia="en-US"/>
              </w:rPr>
              <w:t>року</w:t>
            </w:r>
            <w:r w:rsidRPr="00F143CC">
              <w:rPr>
                <w:rFonts w:ascii="Times New Roman" w:hAnsi="Times New Roman" w:cs="Times New Roman"/>
                <w:b/>
                <w:sz w:val="28"/>
                <w:szCs w:val="28"/>
                <w:lang w:eastAsia="en-US"/>
              </w:rPr>
              <w:t>–</w:t>
            </w:r>
            <w:proofErr w:type="spellEnd"/>
            <w:r w:rsidRPr="00F143CC">
              <w:rPr>
                <w:rFonts w:ascii="Times New Roman" w:hAnsi="Times New Roman" w:cs="Times New Roman"/>
                <w:b/>
                <w:sz w:val="28"/>
                <w:szCs w:val="28"/>
                <w:lang w:eastAsia="en-US"/>
              </w:rPr>
              <w:t xml:space="preserve"> а саме до 1 липня 2022 року.</w:t>
            </w:r>
          </w:p>
          <w:p w:rsidR="005816B6" w:rsidRPr="00F143CC" w:rsidRDefault="005816B6" w:rsidP="00F143CC">
            <w:pPr>
              <w:spacing w:after="0" w:line="240" w:lineRule="auto"/>
              <w:jc w:val="both"/>
              <w:rPr>
                <w:rFonts w:ascii="Times New Roman" w:hAnsi="Times New Roman" w:cs="Times New Roman"/>
                <w:sz w:val="28"/>
                <w:szCs w:val="28"/>
                <w:lang w:eastAsia="en-US"/>
              </w:rPr>
            </w:pPr>
          </w:p>
          <w:p w:rsidR="005816B6" w:rsidRPr="00F143CC" w:rsidRDefault="005816B6" w:rsidP="00F143CC">
            <w:pPr>
              <w:spacing w:after="0" w:line="240" w:lineRule="auto"/>
              <w:jc w:val="both"/>
              <w:rPr>
                <w:rFonts w:ascii="Cambria" w:hAnsi="Cambria" w:cs="Times New Roman"/>
                <w:sz w:val="28"/>
                <w:szCs w:val="28"/>
                <w:lang w:eastAsia="en-US"/>
              </w:rPr>
            </w:pPr>
            <w:r w:rsidRPr="00F143CC">
              <w:rPr>
                <w:rFonts w:ascii="Times New Roman" w:hAnsi="Times New Roman" w:cs="Times New Roman"/>
                <w:sz w:val="28"/>
                <w:szCs w:val="28"/>
                <w:lang w:eastAsia="en-US"/>
              </w:rPr>
              <w:t xml:space="preserve">Нарахування фізичним особам сум земельного податку на підставі зазначених рішень,  проводиться </w:t>
            </w:r>
            <w:r w:rsidRPr="00F143CC">
              <w:rPr>
                <w:rFonts w:ascii="Times New Roman" w:hAnsi="Times New Roman" w:cs="Times New Roman"/>
                <w:sz w:val="28"/>
                <w:szCs w:val="28"/>
                <w:lang w:eastAsia="en-US"/>
              </w:rPr>
              <w:lastRenderedPageBreak/>
              <w:t xml:space="preserve">контролюючими органами за місцезнаходженням земельної ділянки, які надсилають (вручають) платникові податкове повідомлення-рішення про внесення податку </w:t>
            </w:r>
            <w:r w:rsidRPr="00F143CC">
              <w:rPr>
                <w:rFonts w:ascii="Times New Roman" w:hAnsi="Times New Roman" w:cs="Times New Roman"/>
                <w:b/>
                <w:sz w:val="28"/>
                <w:szCs w:val="28"/>
                <w:lang w:eastAsia="en-US"/>
              </w:rPr>
              <w:t>до 1 жовтня 2022 року</w:t>
            </w:r>
          </w:p>
        </w:tc>
      </w:tr>
    </w:tbl>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p w:rsidR="005816B6" w:rsidRDefault="005816B6" w:rsidP="00C66CD6">
      <w:pPr>
        <w:spacing w:after="0" w:line="240" w:lineRule="auto"/>
        <w:ind w:firstLine="33"/>
        <w:jc w:val="both"/>
        <w:rPr>
          <w:rFonts w:ascii="Times New Roman" w:hAnsi="Times New Roman" w:cs="Times New Roman"/>
          <w:sz w:val="26"/>
          <w:szCs w:val="26"/>
          <w:lang w:eastAsia="en-US"/>
        </w:rPr>
      </w:pPr>
    </w:p>
    <w:sectPr w:rsidR="005816B6" w:rsidSect="006C60AA">
      <w:headerReference w:type="default" r:id="rId11"/>
      <w:footerReference w:type="default" r:id="rId12"/>
      <w:pgSz w:w="16840" w:h="11907" w:orient="landscape"/>
      <w:pgMar w:top="-548" w:right="680" w:bottom="567" w:left="850" w:header="709" w:footer="45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B6" w:rsidRDefault="005816B6">
      <w:pPr>
        <w:spacing w:after="0" w:line="240" w:lineRule="auto"/>
      </w:pPr>
      <w:r>
        <w:separator/>
      </w:r>
    </w:p>
  </w:endnote>
  <w:endnote w:type="continuationSeparator" w:id="0">
    <w:p w:rsidR="005816B6" w:rsidRDefault="0058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F93870">
    <w:pPr>
      <w:pStyle w:val="ae"/>
      <w:jc w:val="center"/>
    </w:pPr>
    <w:r>
      <w:fldChar w:fldCharType="begin"/>
    </w:r>
    <w:r>
      <w:instrText xml:space="preserve"> PAGE   \* MERGEFORMAT </w:instrText>
    </w:r>
    <w:r>
      <w:fldChar w:fldCharType="separate"/>
    </w:r>
    <w:r w:rsidR="009F3C27">
      <w:rPr>
        <w:noProof/>
      </w:rPr>
      <w:t>7</w:t>
    </w:r>
    <w:r>
      <w:rPr>
        <w:noProof/>
      </w:rPr>
      <w:fldChar w:fldCharType="end"/>
    </w:r>
  </w:p>
  <w:p w:rsidR="005816B6" w:rsidRDefault="005816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B6" w:rsidRDefault="005816B6">
      <w:pPr>
        <w:spacing w:after="0" w:line="240" w:lineRule="auto"/>
      </w:pPr>
      <w:r>
        <w:separator/>
      </w:r>
    </w:p>
  </w:footnote>
  <w:footnote w:type="continuationSeparator" w:id="0">
    <w:p w:rsidR="005816B6" w:rsidRDefault="00581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B6" w:rsidRDefault="005816B6">
    <w:pPr>
      <w:pStyle w:val="ac"/>
    </w:pPr>
  </w:p>
  <w:p w:rsidR="005816B6" w:rsidRDefault="005816B6">
    <w:pPr>
      <w:tabs>
        <w:tab w:val="center" w:pos="4819"/>
        <w:tab w:val="right" w:pos="9639"/>
      </w:tabs>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337"/>
    <w:multiLevelType w:val="multilevel"/>
    <w:tmpl w:val="7798A6CE"/>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abstractNum w:abstractNumId="1">
    <w:nsid w:val="27A945F4"/>
    <w:multiLevelType w:val="hybridMultilevel"/>
    <w:tmpl w:val="DA44E6C8"/>
    <w:lvl w:ilvl="0" w:tplc="AE50D466">
      <w:start w:val="4"/>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EEE5D7B"/>
    <w:multiLevelType w:val="multilevel"/>
    <w:tmpl w:val="22265928"/>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2"/>
    <w:rsid w:val="000049B3"/>
    <w:rsid w:val="000110B5"/>
    <w:rsid w:val="00011A0C"/>
    <w:rsid w:val="00011C28"/>
    <w:rsid w:val="0001216E"/>
    <w:rsid w:val="0001788C"/>
    <w:rsid w:val="00025BD5"/>
    <w:rsid w:val="00032A04"/>
    <w:rsid w:val="00036A3A"/>
    <w:rsid w:val="000426CD"/>
    <w:rsid w:val="00051303"/>
    <w:rsid w:val="000520E0"/>
    <w:rsid w:val="00053C44"/>
    <w:rsid w:val="000557B7"/>
    <w:rsid w:val="00056529"/>
    <w:rsid w:val="0006034B"/>
    <w:rsid w:val="0006065E"/>
    <w:rsid w:val="00064015"/>
    <w:rsid w:val="00064560"/>
    <w:rsid w:val="00065C4F"/>
    <w:rsid w:val="00067EB9"/>
    <w:rsid w:val="00086BCD"/>
    <w:rsid w:val="00092616"/>
    <w:rsid w:val="000931D9"/>
    <w:rsid w:val="000A0C1A"/>
    <w:rsid w:val="000A2805"/>
    <w:rsid w:val="000B0D55"/>
    <w:rsid w:val="000B558E"/>
    <w:rsid w:val="000C287D"/>
    <w:rsid w:val="000D70FB"/>
    <w:rsid w:val="000F31D3"/>
    <w:rsid w:val="000F5C84"/>
    <w:rsid w:val="0010029D"/>
    <w:rsid w:val="00110E97"/>
    <w:rsid w:val="001129CE"/>
    <w:rsid w:val="001252E9"/>
    <w:rsid w:val="001255FC"/>
    <w:rsid w:val="00127335"/>
    <w:rsid w:val="00136014"/>
    <w:rsid w:val="001407DD"/>
    <w:rsid w:val="00145396"/>
    <w:rsid w:val="001464BD"/>
    <w:rsid w:val="001464DD"/>
    <w:rsid w:val="00154A2A"/>
    <w:rsid w:val="001550CF"/>
    <w:rsid w:val="00155A5F"/>
    <w:rsid w:val="001602D1"/>
    <w:rsid w:val="001624A2"/>
    <w:rsid w:val="00170876"/>
    <w:rsid w:val="00170F72"/>
    <w:rsid w:val="00172D33"/>
    <w:rsid w:val="00177BB9"/>
    <w:rsid w:val="00181510"/>
    <w:rsid w:val="001815FD"/>
    <w:rsid w:val="0018212B"/>
    <w:rsid w:val="001853D1"/>
    <w:rsid w:val="00195849"/>
    <w:rsid w:val="001A1E4A"/>
    <w:rsid w:val="001A66E9"/>
    <w:rsid w:val="001B0D40"/>
    <w:rsid w:val="001B11C0"/>
    <w:rsid w:val="001B4174"/>
    <w:rsid w:val="001C3354"/>
    <w:rsid w:val="001D37AF"/>
    <w:rsid w:val="001D7710"/>
    <w:rsid w:val="001E099F"/>
    <w:rsid w:val="001E5D6C"/>
    <w:rsid w:val="001E69C5"/>
    <w:rsid w:val="001E751B"/>
    <w:rsid w:val="001F04C0"/>
    <w:rsid w:val="00201C01"/>
    <w:rsid w:val="00203BD7"/>
    <w:rsid w:val="002065C8"/>
    <w:rsid w:val="00210545"/>
    <w:rsid w:val="002114D5"/>
    <w:rsid w:val="002122D6"/>
    <w:rsid w:val="002136A4"/>
    <w:rsid w:val="00222990"/>
    <w:rsid w:val="002235B4"/>
    <w:rsid w:val="00224B39"/>
    <w:rsid w:val="0022562D"/>
    <w:rsid w:val="00230A4F"/>
    <w:rsid w:val="00237C82"/>
    <w:rsid w:val="0024006C"/>
    <w:rsid w:val="002414E9"/>
    <w:rsid w:val="0024554F"/>
    <w:rsid w:val="00246B8B"/>
    <w:rsid w:val="00260E3C"/>
    <w:rsid w:val="00272FBE"/>
    <w:rsid w:val="00273199"/>
    <w:rsid w:val="0027324E"/>
    <w:rsid w:val="00273B0B"/>
    <w:rsid w:val="00275035"/>
    <w:rsid w:val="00275BD1"/>
    <w:rsid w:val="00286C7E"/>
    <w:rsid w:val="0028723B"/>
    <w:rsid w:val="00293BA8"/>
    <w:rsid w:val="002A2FDA"/>
    <w:rsid w:val="002A3D4F"/>
    <w:rsid w:val="002B1DCE"/>
    <w:rsid w:val="002B364A"/>
    <w:rsid w:val="002B38A6"/>
    <w:rsid w:val="002B6C04"/>
    <w:rsid w:val="002C4CDB"/>
    <w:rsid w:val="002D0CF5"/>
    <w:rsid w:val="002D3BF3"/>
    <w:rsid w:val="002D3E52"/>
    <w:rsid w:val="002D6CA1"/>
    <w:rsid w:val="002E089E"/>
    <w:rsid w:val="002E1781"/>
    <w:rsid w:val="002E4AF5"/>
    <w:rsid w:val="002E6DA0"/>
    <w:rsid w:val="002E6F6A"/>
    <w:rsid w:val="002F16DA"/>
    <w:rsid w:val="00302440"/>
    <w:rsid w:val="00312CDA"/>
    <w:rsid w:val="003132A1"/>
    <w:rsid w:val="003147FA"/>
    <w:rsid w:val="00316C3E"/>
    <w:rsid w:val="00325303"/>
    <w:rsid w:val="00326F82"/>
    <w:rsid w:val="003300EF"/>
    <w:rsid w:val="00342055"/>
    <w:rsid w:val="00356EF9"/>
    <w:rsid w:val="0035732A"/>
    <w:rsid w:val="0036244E"/>
    <w:rsid w:val="00363431"/>
    <w:rsid w:val="00366919"/>
    <w:rsid w:val="00367526"/>
    <w:rsid w:val="00370AF4"/>
    <w:rsid w:val="00375A81"/>
    <w:rsid w:val="00376FD2"/>
    <w:rsid w:val="00377A4B"/>
    <w:rsid w:val="00381C5F"/>
    <w:rsid w:val="00381D90"/>
    <w:rsid w:val="00392B70"/>
    <w:rsid w:val="0039770D"/>
    <w:rsid w:val="00397D6B"/>
    <w:rsid w:val="003A0F27"/>
    <w:rsid w:val="003A18C3"/>
    <w:rsid w:val="003A1A7C"/>
    <w:rsid w:val="003A24CA"/>
    <w:rsid w:val="003A5E74"/>
    <w:rsid w:val="003A626F"/>
    <w:rsid w:val="003B0F0B"/>
    <w:rsid w:val="003B2FE6"/>
    <w:rsid w:val="003B4356"/>
    <w:rsid w:val="003C4486"/>
    <w:rsid w:val="003C4F28"/>
    <w:rsid w:val="003D1AB6"/>
    <w:rsid w:val="003D2C6A"/>
    <w:rsid w:val="003D3736"/>
    <w:rsid w:val="003E3D2D"/>
    <w:rsid w:val="003E74C2"/>
    <w:rsid w:val="003F302E"/>
    <w:rsid w:val="003F58F4"/>
    <w:rsid w:val="003F6D47"/>
    <w:rsid w:val="00402FC2"/>
    <w:rsid w:val="004057DE"/>
    <w:rsid w:val="00407D27"/>
    <w:rsid w:val="00411716"/>
    <w:rsid w:val="0041247E"/>
    <w:rsid w:val="00412A1E"/>
    <w:rsid w:val="004142C0"/>
    <w:rsid w:val="00414D57"/>
    <w:rsid w:val="00415484"/>
    <w:rsid w:val="00416498"/>
    <w:rsid w:val="00416730"/>
    <w:rsid w:val="004270A3"/>
    <w:rsid w:val="00427F91"/>
    <w:rsid w:val="0043125D"/>
    <w:rsid w:val="00442434"/>
    <w:rsid w:val="00446C5F"/>
    <w:rsid w:val="00447EDB"/>
    <w:rsid w:val="00471D23"/>
    <w:rsid w:val="00484DB6"/>
    <w:rsid w:val="00485E4A"/>
    <w:rsid w:val="0048749B"/>
    <w:rsid w:val="004917E9"/>
    <w:rsid w:val="00491FE5"/>
    <w:rsid w:val="00496A68"/>
    <w:rsid w:val="004A1B4B"/>
    <w:rsid w:val="004A23F9"/>
    <w:rsid w:val="004A6873"/>
    <w:rsid w:val="004B2F19"/>
    <w:rsid w:val="004B3927"/>
    <w:rsid w:val="004B66C3"/>
    <w:rsid w:val="004C42EA"/>
    <w:rsid w:val="004D089A"/>
    <w:rsid w:val="004D46D8"/>
    <w:rsid w:val="004D5B39"/>
    <w:rsid w:val="004E1299"/>
    <w:rsid w:val="004E567D"/>
    <w:rsid w:val="004F0C8F"/>
    <w:rsid w:val="004F3B77"/>
    <w:rsid w:val="0050011E"/>
    <w:rsid w:val="00500A98"/>
    <w:rsid w:val="00503345"/>
    <w:rsid w:val="00503DB8"/>
    <w:rsid w:val="005051D7"/>
    <w:rsid w:val="00505514"/>
    <w:rsid w:val="005073A1"/>
    <w:rsid w:val="005140C4"/>
    <w:rsid w:val="00514484"/>
    <w:rsid w:val="005153B9"/>
    <w:rsid w:val="00522D82"/>
    <w:rsid w:val="00525CDD"/>
    <w:rsid w:val="00542647"/>
    <w:rsid w:val="00544B64"/>
    <w:rsid w:val="00545B61"/>
    <w:rsid w:val="00560585"/>
    <w:rsid w:val="0056183B"/>
    <w:rsid w:val="00561D9C"/>
    <w:rsid w:val="00562765"/>
    <w:rsid w:val="0056335A"/>
    <w:rsid w:val="00563913"/>
    <w:rsid w:val="0056483A"/>
    <w:rsid w:val="00571D2A"/>
    <w:rsid w:val="00574ECE"/>
    <w:rsid w:val="005816B6"/>
    <w:rsid w:val="00581DE1"/>
    <w:rsid w:val="00583516"/>
    <w:rsid w:val="005835AD"/>
    <w:rsid w:val="005901AD"/>
    <w:rsid w:val="0059030F"/>
    <w:rsid w:val="00590ADF"/>
    <w:rsid w:val="0059300B"/>
    <w:rsid w:val="005954C3"/>
    <w:rsid w:val="005A2B98"/>
    <w:rsid w:val="005A3873"/>
    <w:rsid w:val="005A7AE5"/>
    <w:rsid w:val="005C591E"/>
    <w:rsid w:val="005C795F"/>
    <w:rsid w:val="005C7967"/>
    <w:rsid w:val="005E0F26"/>
    <w:rsid w:val="005E4E28"/>
    <w:rsid w:val="005E632D"/>
    <w:rsid w:val="005E6C33"/>
    <w:rsid w:val="005E70E1"/>
    <w:rsid w:val="005F4BDB"/>
    <w:rsid w:val="005F5201"/>
    <w:rsid w:val="005F79C7"/>
    <w:rsid w:val="00601926"/>
    <w:rsid w:val="0060220A"/>
    <w:rsid w:val="00602E2B"/>
    <w:rsid w:val="00602F04"/>
    <w:rsid w:val="006033AD"/>
    <w:rsid w:val="00603CA8"/>
    <w:rsid w:val="00603CB7"/>
    <w:rsid w:val="00610618"/>
    <w:rsid w:val="00611D43"/>
    <w:rsid w:val="00615706"/>
    <w:rsid w:val="006277DC"/>
    <w:rsid w:val="00631BCE"/>
    <w:rsid w:val="00631E40"/>
    <w:rsid w:val="00641ED9"/>
    <w:rsid w:val="00642DBE"/>
    <w:rsid w:val="00644CD3"/>
    <w:rsid w:val="00644D40"/>
    <w:rsid w:val="0065192C"/>
    <w:rsid w:val="00651B25"/>
    <w:rsid w:val="00662BE7"/>
    <w:rsid w:val="00677DB2"/>
    <w:rsid w:val="0068354E"/>
    <w:rsid w:val="00683D20"/>
    <w:rsid w:val="006902D5"/>
    <w:rsid w:val="00692544"/>
    <w:rsid w:val="00692DBA"/>
    <w:rsid w:val="00695578"/>
    <w:rsid w:val="0069776D"/>
    <w:rsid w:val="006A0356"/>
    <w:rsid w:val="006A0B3E"/>
    <w:rsid w:val="006A0D5A"/>
    <w:rsid w:val="006A2B3C"/>
    <w:rsid w:val="006A3A3B"/>
    <w:rsid w:val="006A7D7F"/>
    <w:rsid w:val="006B007D"/>
    <w:rsid w:val="006B0FF0"/>
    <w:rsid w:val="006B248E"/>
    <w:rsid w:val="006B55D4"/>
    <w:rsid w:val="006C0B4F"/>
    <w:rsid w:val="006C1476"/>
    <w:rsid w:val="006C2338"/>
    <w:rsid w:val="006C23A2"/>
    <w:rsid w:val="006C60AA"/>
    <w:rsid w:val="006C70B8"/>
    <w:rsid w:val="006D1FCB"/>
    <w:rsid w:val="006D581C"/>
    <w:rsid w:val="006D5B0F"/>
    <w:rsid w:val="006F0AA5"/>
    <w:rsid w:val="006F529C"/>
    <w:rsid w:val="006F7A39"/>
    <w:rsid w:val="0070090E"/>
    <w:rsid w:val="00710419"/>
    <w:rsid w:val="00721AEC"/>
    <w:rsid w:val="00722887"/>
    <w:rsid w:val="00724186"/>
    <w:rsid w:val="00724EE0"/>
    <w:rsid w:val="00737410"/>
    <w:rsid w:val="00744557"/>
    <w:rsid w:val="00744DD1"/>
    <w:rsid w:val="007461A0"/>
    <w:rsid w:val="0075192B"/>
    <w:rsid w:val="007521FD"/>
    <w:rsid w:val="00764356"/>
    <w:rsid w:val="00764703"/>
    <w:rsid w:val="007709DF"/>
    <w:rsid w:val="00771084"/>
    <w:rsid w:val="00775F63"/>
    <w:rsid w:val="007761C6"/>
    <w:rsid w:val="007779B7"/>
    <w:rsid w:val="00780EF7"/>
    <w:rsid w:val="0078476C"/>
    <w:rsid w:val="00786540"/>
    <w:rsid w:val="00787B43"/>
    <w:rsid w:val="00790FD2"/>
    <w:rsid w:val="00791C3A"/>
    <w:rsid w:val="00791F41"/>
    <w:rsid w:val="007A09DC"/>
    <w:rsid w:val="007A5186"/>
    <w:rsid w:val="007A5400"/>
    <w:rsid w:val="007A543E"/>
    <w:rsid w:val="007B03EC"/>
    <w:rsid w:val="007B0D73"/>
    <w:rsid w:val="007B18FB"/>
    <w:rsid w:val="007B3DE8"/>
    <w:rsid w:val="007B6FD3"/>
    <w:rsid w:val="007B76A4"/>
    <w:rsid w:val="007C027D"/>
    <w:rsid w:val="007C165D"/>
    <w:rsid w:val="007D0438"/>
    <w:rsid w:val="007D3C33"/>
    <w:rsid w:val="007E694A"/>
    <w:rsid w:val="007E6D58"/>
    <w:rsid w:val="007F66DD"/>
    <w:rsid w:val="008041B7"/>
    <w:rsid w:val="008062AE"/>
    <w:rsid w:val="008076FE"/>
    <w:rsid w:val="0081266B"/>
    <w:rsid w:val="00812C32"/>
    <w:rsid w:val="00812C79"/>
    <w:rsid w:val="0081380F"/>
    <w:rsid w:val="00821668"/>
    <w:rsid w:val="00824698"/>
    <w:rsid w:val="00833A24"/>
    <w:rsid w:val="0083432B"/>
    <w:rsid w:val="008420B9"/>
    <w:rsid w:val="00843350"/>
    <w:rsid w:val="00843F88"/>
    <w:rsid w:val="00854DCF"/>
    <w:rsid w:val="00856017"/>
    <w:rsid w:val="00875525"/>
    <w:rsid w:val="0089101B"/>
    <w:rsid w:val="00893188"/>
    <w:rsid w:val="00894D66"/>
    <w:rsid w:val="00896144"/>
    <w:rsid w:val="00896555"/>
    <w:rsid w:val="008A2A5A"/>
    <w:rsid w:val="008A35E4"/>
    <w:rsid w:val="008A370C"/>
    <w:rsid w:val="008A3F5B"/>
    <w:rsid w:val="008B19C7"/>
    <w:rsid w:val="008B1DC2"/>
    <w:rsid w:val="008B51B3"/>
    <w:rsid w:val="008B6C86"/>
    <w:rsid w:val="008D1837"/>
    <w:rsid w:val="008D1B0C"/>
    <w:rsid w:val="008D4F5F"/>
    <w:rsid w:val="008E04DA"/>
    <w:rsid w:val="008E17D2"/>
    <w:rsid w:val="008E1B7A"/>
    <w:rsid w:val="008E2F67"/>
    <w:rsid w:val="008E3D57"/>
    <w:rsid w:val="008E5D13"/>
    <w:rsid w:val="008E768B"/>
    <w:rsid w:val="008F23EE"/>
    <w:rsid w:val="008F31D2"/>
    <w:rsid w:val="008F3EC2"/>
    <w:rsid w:val="00910510"/>
    <w:rsid w:val="0091405B"/>
    <w:rsid w:val="00915E20"/>
    <w:rsid w:val="009164B6"/>
    <w:rsid w:val="00923A18"/>
    <w:rsid w:val="009313BE"/>
    <w:rsid w:val="009324DE"/>
    <w:rsid w:val="00933662"/>
    <w:rsid w:val="009441BF"/>
    <w:rsid w:val="009454D8"/>
    <w:rsid w:val="00946C36"/>
    <w:rsid w:val="00946FE1"/>
    <w:rsid w:val="009524A2"/>
    <w:rsid w:val="00956093"/>
    <w:rsid w:val="009602D8"/>
    <w:rsid w:val="0096245E"/>
    <w:rsid w:val="0096754E"/>
    <w:rsid w:val="00970AD0"/>
    <w:rsid w:val="00981B2C"/>
    <w:rsid w:val="00985BF2"/>
    <w:rsid w:val="00985F63"/>
    <w:rsid w:val="0099024A"/>
    <w:rsid w:val="00992DB3"/>
    <w:rsid w:val="00994C3E"/>
    <w:rsid w:val="009956F2"/>
    <w:rsid w:val="009A4575"/>
    <w:rsid w:val="009A544E"/>
    <w:rsid w:val="009A57CD"/>
    <w:rsid w:val="009A6497"/>
    <w:rsid w:val="009A68AE"/>
    <w:rsid w:val="009B26A8"/>
    <w:rsid w:val="009B26E3"/>
    <w:rsid w:val="009B2A76"/>
    <w:rsid w:val="009B2CEF"/>
    <w:rsid w:val="009B3A64"/>
    <w:rsid w:val="009B798E"/>
    <w:rsid w:val="009D1D45"/>
    <w:rsid w:val="009D2A87"/>
    <w:rsid w:val="009D2EA4"/>
    <w:rsid w:val="009D312F"/>
    <w:rsid w:val="009D46A5"/>
    <w:rsid w:val="009D47B5"/>
    <w:rsid w:val="009D4C5B"/>
    <w:rsid w:val="009D546B"/>
    <w:rsid w:val="009E059B"/>
    <w:rsid w:val="009E46FB"/>
    <w:rsid w:val="009E5764"/>
    <w:rsid w:val="009F3C27"/>
    <w:rsid w:val="009F45F3"/>
    <w:rsid w:val="009F63C9"/>
    <w:rsid w:val="009F6549"/>
    <w:rsid w:val="009F7B6B"/>
    <w:rsid w:val="00A02F0C"/>
    <w:rsid w:val="00A04B84"/>
    <w:rsid w:val="00A1536A"/>
    <w:rsid w:val="00A20712"/>
    <w:rsid w:val="00A216D2"/>
    <w:rsid w:val="00A26539"/>
    <w:rsid w:val="00A2672D"/>
    <w:rsid w:val="00A27F26"/>
    <w:rsid w:val="00A3174B"/>
    <w:rsid w:val="00A33851"/>
    <w:rsid w:val="00A3553F"/>
    <w:rsid w:val="00A46885"/>
    <w:rsid w:val="00A545ED"/>
    <w:rsid w:val="00A60F98"/>
    <w:rsid w:val="00A6235E"/>
    <w:rsid w:val="00A6413B"/>
    <w:rsid w:val="00A67302"/>
    <w:rsid w:val="00A67E34"/>
    <w:rsid w:val="00A71F3D"/>
    <w:rsid w:val="00A72559"/>
    <w:rsid w:val="00A75059"/>
    <w:rsid w:val="00A80B4A"/>
    <w:rsid w:val="00A91D8C"/>
    <w:rsid w:val="00A9276E"/>
    <w:rsid w:val="00AA5B3B"/>
    <w:rsid w:val="00AA741D"/>
    <w:rsid w:val="00AB0563"/>
    <w:rsid w:val="00AC4AA2"/>
    <w:rsid w:val="00AD3FF2"/>
    <w:rsid w:val="00AD4A42"/>
    <w:rsid w:val="00AD71FE"/>
    <w:rsid w:val="00AE035A"/>
    <w:rsid w:val="00AE0999"/>
    <w:rsid w:val="00AE568C"/>
    <w:rsid w:val="00AF5A90"/>
    <w:rsid w:val="00B055FF"/>
    <w:rsid w:val="00B152AC"/>
    <w:rsid w:val="00B1692B"/>
    <w:rsid w:val="00B235BF"/>
    <w:rsid w:val="00B25AC3"/>
    <w:rsid w:val="00B3099D"/>
    <w:rsid w:val="00B31C06"/>
    <w:rsid w:val="00B32098"/>
    <w:rsid w:val="00B45685"/>
    <w:rsid w:val="00B45EF4"/>
    <w:rsid w:val="00B53E57"/>
    <w:rsid w:val="00B555BD"/>
    <w:rsid w:val="00B560C2"/>
    <w:rsid w:val="00B606A0"/>
    <w:rsid w:val="00B6614B"/>
    <w:rsid w:val="00B676C7"/>
    <w:rsid w:val="00B7097F"/>
    <w:rsid w:val="00B74AD2"/>
    <w:rsid w:val="00B77250"/>
    <w:rsid w:val="00B8006C"/>
    <w:rsid w:val="00B81174"/>
    <w:rsid w:val="00B87C0D"/>
    <w:rsid w:val="00B93B23"/>
    <w:rsid w:val="00BA25E0"/>
    <w:rsid w:val="00BA62A1"/>
    <w:rsid w:val="00BB0FE9"/>
    <w:rsid w:val="00BC0D5C"/>
    <w:rsid w:val="00BC443D"/>
    <w:rsid w:val="00BC5C1B"/>
    <w:rsid w:val="00BD37BE"/>
    <w:rsid w:val="00BD5C0E"/>
    <w:rsid w:val="00BD6EBA"/>
    <w:rsid w:val="00BD733D"/>
    <w:rsid w:val="00BE0153"/>
    <w:rsid w:val="00BE3517"/>
    <w:rsid w:val="00BE4EE7"/>
    <w:rsid w:val="00BE5A0C"/>
    <w:rsid w:val="00BE5D0E"/>
    <w:rsid w:val="00BE7D76"/>
    <w:rsid w:val="00BF38CD"/>
    <w:rsid w:val="00BF6204"/>
    <w:rsid w:val="00C10F2C"/>
    <w:rsid w:val="00C135F9"/>
    <w:rsid w:val="00C16FD8"/>
    <w:rsid w:val="00C22822"/>
    <w:rsid w:val="00C232DF"/>
    <w:rsid w:val="00C30B74"/>
    <w:rsid w:val="00C343E7"/>
    <w:rsid w:val="00C34CC8"/>
    <w:rsid w:val="00C360C5"/>
    <w:rsid w:val="00C37307"/>
    <w:rsid w:val="00C4109D"/>
    <w:rsid w:val="00C41F26"/>
    <w:rsid w:val="00C474BC"/>
    <w:rsid w:val="00C51234"/>
    <w:rsid w:val="00C57BFF"/>
    <w:rsid w:val="00C636A4"/>
    <w:rsid w:val="00C64F47"/>
    <w:rsid w:val="00C66CD6"/>
    <w:rsid w:val="00C75648"/>
    <w:rsid w:val="00C8099D"/>
    <w:rsid w:val="00C84388"/>
    <w:rsid w:val="00C8772B"/>
    <w:rsid w:val="00C93261"/>
    <w:rsid w:val="00C94760"/>
    <w:rsid w:val="00C948B0"/>
    <w:rsid w:val="00C972E4"/>
    <w:rsid w:val="00CA0463"/>
    <w:rsid w:val="00CA0F42"/>
    <w:rsid w:val="00CA175C"/>
    <w:rsid w:val="00CA5415"/>
    <w:rsid w:val="00CB3BE2"/>
    <w:rsid w:val="00CB59CC"/>
    <w:rsid w:val="00CC1B13"/>
    <w:rsid w:val="00CC55E3"/>
    <w:rsid w:val="00CD0396"/>
    <w:rsid w:val="00CD2A5C"/>
    <w:rsid w:val="00CD2B72"/>
    <w:rsid w:val="00CD321E"/>
    <w:rsid w:val="00CD77D4"/>
    <w:rsid w:val="00CE09AF"/>
    <w:rsid w:val="00CE7408"/>
    <w:rsid w:val="00CF7782"/>
    <w:rsid w:val="00D03BFF"/>
    <w:rsid w:val="00D11F69"/>
    <w:rsid w:val="00D161D2"/>
    <w:rsid w:val="00D20444"/>
    <w:rsid w:val="00D27703"/>
    <w:rsid w:val="00D30492"/>
    <w:rsid w:val="00D30A38"/>
    <w:rsid w:val="00D3792D"/>
    <w:rsid w:val="00D526CB"/>
    <w:rsid w:val="00D62433"/>
    <w:rsid w:val="00D62C83"/>
    <w:rsid w:val="00D62DAC"/>
    <w:rsid w:val="00D747BC"/>
    <w:rsid w:val="00D80B42"/>
    <w:rsid w:val="00D87184"/>
    <w:rsid w:val="00DA041C"/>
    <w:rsid w:val="00DA1E82"/>
    <w:rsid w:val="00DB1EF3"/>
    <w:rsid w:val="00DB4967"/>
    <w:rsid w:val="00DB5B9F"/>
    <w:rsid w:val="00DB786F"/>
    <w:rsid w:val="00DC0830"/>
    <w:rsid w:val="00DC3FD5"/>
    <w:rsid w:val="00DD4173"/>
    <w:rsid w:val="00DD5758"/>
    <w:rsid w:val="00DE13A2"/>
    <w:rsid w:val="00DE3331"/>
    <w:rsid w:val="00DE688A"/>
    <w:rsid w:val="00DF4E49"/>
    <w:rsid w:val="00DF5E5E"/>
    <w:rsid w:val="00DF63A2"/>
    <w:rsid w:val="00E00879"/>
    <w:rsid w:val="00E03745"/>
    <w:rsid w:val="00E03815"/>
    <w:rsid w:val="00E0453A"/>
    <w:rsid w:val="00E05FEC"/>
    <w:rsid w:val="00E1137F"/>
    <w:rsid w:val="00E139DD"/>
    <w:rsid w:val="00E150C7"/>
    <w:rsid w:val="00E162D7"/>
    <w:rsid w:val="00E265EA"/>
    <w:rsid w:val="00E35124"/>
    <w:rsid w:val="00E45B63"/>
    <w:rsid w:val="00E47364"/>
    <w:rsid w:val="00E47A0D"/>
    <w:rsid w:val="00E507F0"/>
    <w:rsid w:val="00E522D3"/>
    <w:rsid w:val="00E539AB"/>
    <w:rsid w:val="00E5689B"/>
    <w:rsid w:val="00E56B6E"/>
    <w:rsid w:val="00E6167F"/>
    <w:rsid w:val="00E70A66"/>
    <w:rsid w:val="00E75FD3"/>
    <w:rsid w:val="00E76AF4"/>
    <w:rsid w:val="00E8480A"/>
    <w:rsid w:val="00E85C61"/>
    <w:rsid w:val="00E96D89"/>
    <w:rsid w:val="00E97EAF"/>
    <w:rsid w:val="00EA3F32"/>
    <w:rsid w:val="00EA7648"/>
    <w:rsid w:val="00EB229D"/>
    <w:rsid w:val="00EB40CC"/>
    <w:rsid w:val="00EC4C85"/>
    <w:rsid w:val="00EC6041"/>
    <w:rsid w:val="00ED1CBD"/>
    <w:rsid w:val="00ED2C04"/>
    <w:rsid w:val="00ED2C72"/>
    <w:rsid w:val="00ED58CB"/>
    <w:rsid w:val="00EE2BD8"/>
    <w:rsid w:val="00EF21B5"/>
    <w:rsid w:val="00EF7223"/>
    <w:rsid w:val="00F02648"/>
    <w:rsid w:val="00F05AC6"/>
    <w:rsid w:val="00F143CC"/>
    <w:rsid w:val="00F151C1"/>
    <w:rsid w:val="00F17DAF"/>
    <w:rsid w:val="00F25F33"/>
    <w:rsid w:val="00F25F9A"/>
    <w:rsid w:val="00F26DD2"/>
    <w:rsid w:val="00F33857"/>
    <w:rsid w:val="00F36A09"/>
    <w:rsid w:val="00F413A5"/>
    <w:rsid w:val="00F4348B"/>
    <w:rsid w:val="00F450FA"/>
    <w:rsid w:val="00F45E11"/>
    <w:rsid w:val="00F47E59"/>
    <w:rsid w:val="00F55067"/>
    <w:rsid w:val="00F602B2"/>
    <w:rsid w:val="00F6042E"/>
    <w:rsid w:val="00F616B4"/>
    <w:rsid w:val="00F62FA9"/>
    <w:rsid w:val="00F64220"/>
    <w:rsid w:val="00F66477"/>
    <w:rsid w:val="00F66EDB"/>
    <w:rsid w:val="00F67CBF"/>
    <w:rsid w:val="00F70F76"/>
    <w:rsid w:val="00F713DE"/>
    <w:rsid w:val="00F715B7"/>
    <w:rsid w:val="00F716D9"/>
    <w:rsid w:val="00F75136"/>
    <w:rsid w:val="00F77405"/>
    <w:rsid w:val="00F774E9"/>
    <w:rsid w:val="00F77546"/>
    <w:rsid w:val="00F83657"/>
    <w:rsid w:val="00F90C49"/>
    <w:rsid w:val="00F921CB"/>
    <w:rsid w:val="00F93870"/>
    <w:rsid w:val="00F93AC2"/>
    <w:rsid w:val="00F9535D"/>
    <w:rsid w:val="00FA0A0A"/>
    <w:rsid w:val="00FA3C62"/>
    <w:rsid w:val="00FB0162"/>
    <w:rsid w:val="00FB1B5B"/>
    <w:rsid w:val="00FB2AC2"/>
    <w:rsid w:val="00FB6C98"/>
    <w:rsid w:val="00FB6DD8"/>
    <w:rsid w:val="00FC35BC"/>
    <w:rsid w:val="00FD4DBD"/>
    <w:rsid w:val="00FE6605"/>
    <w:rsid w:val="00FF0BE6"/>
    <w:rsid w:val="00FF7B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8763E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8763E5"/>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8763E5"/>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8763E5"/>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8763E5"/>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8763E5"/>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8763E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8763E5"/>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8763E5"/>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8763E5"/>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8763E5"/>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8763E5"/>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7622">
      <w:marLeft w:val="0"/>
      <w:marRight w:val="0"/>
      <w:marTop w:val="0"/>
      <w:marBottom w:val="0"/>
      <w:divBdr>
        <w:top w:val="none" w:sz="0" w:space="0" w:color="auto"/>
        <w:left w:val="none" w:sz="0" w:space="0" w:color="auto"/>
        <w:bottom w:val="none" w:sz="0" w:space="0" w:color="auto"/>
        <w:right w:val="none" w:sz="0" w:space="0" w:color="auto"/>
      </w:divBdr>
    </w:div>
    <w:div w:id="570387623">
      <w:marLeft w:val="0"/>
      <w:marRight w:val="0"/>
      <w:marTop w:val="0"/>
      <w:marBottom w:val="0"/>
      <w:divBdr>
        <w:top w:val="none" w:sz="0" w:space="0" w:color="auto"/>
        <w:left w:val="none" w:sz="0" w:space="0" w:color="auto"/>
        <w:bottom w:val="none" w:sz="0" w:space="0" w:color="auto"/>
        <w:right w:val="none" w:sz="0" w:space="0" w:color="auto"/>
      </w:divBdr>
      <w:divsChild>
        <w:div w:id="570387626">
          <w:marLeft w:val="0"/>
          <w:marRight w:val="0"/>
          <w:marTop w:val="150"/>
          <w:marBottom w:val="150"/>
          <w:divBdr>
            <w:top w:val="none" w:sz="0" w:space="0" w:color="auto"/>
            <w:left w:val="none" w:sz="0" w:space="0" w:color="auto"/>
            <w:bottom w:val="none" w:sz="0" w:space="0" w:color="auto"/>
            <w:right w:val="none" w:sz="0" w:space="0" w:color="auto"/>
          </w:divBdr>
        </w:div>
      </w:divsChild>
    </w:div>
    <w:div w:id="570387624">
      <w:marLeft w:val="0"/>
      <w:marRight w:val="0"/>
      <w:marTop w:val="0"/>
      <w:marBottom w:val="0"/>
      <w:divBdr>
        <w:top w:val="none" w:sz="0" w:space="0" w:color="auto"/>
        <w:left w:val="none" w:sz="0" w:space="0" w:color="auto"/>
        <w:bottom w:val="none" w:sz="0" w:space="0" w:color="auto"/>
        <w:right w:val="none" w:sz="0" w:space="0" w:color="auto"/>
      </w:divBdr>
    </w:div>
    <w:div w:id="570387625">
      <w:marLeft w:val="0"/>
      <w:marRight w:val="0"/>
      <w:marTop w:val="0"/>
      <w:marBottom w:val="0"/>
      <w:divBdr>
        <w:top w:val="none" w:sz="0" w:space="0" w:color="auto"/>
        <w:left w:val="none" w:sz="0" w:space="0" w:color="auto"/>
        <w:bottom w:val="none" w:sz="0" w:space="0" w:color="auto"/>
        <w:right w:val="none" w:sz="0" w:space="0" w:color="auto"/>
      </w:divBdr>
    </w:div>
    <w:div w:id="570387627">
      <w:marLeft w:val="0"/>
      <w:marRight w:val="0"/>
      <w:marTop w:val="0"/>
      <w:marBottom w:val="0"/>
      <w:divBdr>
        <w:top w:val="none" w:sz="0" w:space="0" w:color="auto"/>
        <w:left w:val="none" w:sz="0" w:space="0" w:color="auto"/>
        <w:bottom w:val="none" w:sz="0" w:space="0" w:color="auto"/>
        <w:right w:val="none" w:sz="0" w:space="0" w:color="auto"/>
      </w:divBdr>
    </w:div>
    <w:div w:id="570387628">
      <w:marLeft w:val="0"/>
      <w:marRight w:val="0"/>
      <w:marTop w:val="0"/>
      <w:marBottom w:val="0"/>
      <w:divBdr>
        <w:top w:val="none" w:sz="0" w:space="0" w:color="auto"/>
        <w:left w:val="none" w:sz="0" w:space="0" w:color="auto"/>
        <w:bottom w:val="none" w:sz="0" w:space="0" w:color="auto"/>
        <w:right w:val="none" w:sz="0" w:space="0" w:color="auto"/>
      </w:divBdr>
    </w:div>
    <w:div w:id="570387629">
      <w:marLeft w:val="0"/>
      <w:marRight w:val="0"/>
      <w:marTop w:val="0"/>
      <w:marBottom w:val="0"/>
      <w:divBdr>
        <w:top w:val="none" w:sz="0" w:space="0" w:color="auto"/>
        <w:left w:val="none" w:sz="0" w:space="0" w:color="auto"/>
        <w:bottom w:val="none" w:sz="0" w:space="0" w:color="auto"/>
        <w:right w:val="none" w:sz="0" w:space="0" w:color="auto"/>
      </w:divBdr>
    </w:div>
    <w:div w:id="570387630">
      <w:marLeft w:val="0"/>
      <w:marRight w:val="0"/>
      <w:marTop w:val="0"/>
      <w:marBottom w:val="0"/>
      <w:divBdr>
        <w:top w:val="none" w:sz="0" w:space="0" w:color="auto"/>
        <w:left w:val="none" w:sz="0" w:space="0" w:color="auto"/>
        <w:bottom w:val="none" w:sz="0" w:space="0" w:color="auto"/>
        <w:right w:val="none" w:sz="0" w:space="0" w:color="auto"/>
      </w:divBdr>
    </w:div>
    <w:div w:id="570387631">
      <w:marLeft w:val="0"/>
      <w:marRight w:val="0"/>
      <w:marTop w:val="0"/>
      <w:marBottom w:val="0"/>
      <w:divBdr>
        <w:top w:val="none" w:sz="0" w:space="0" w:color="auto"/>
        <w:left w:val="none" w:sz="0" w:space="0" w:color="auto"/>
        <w:bottom w:val="none" w:sz="0" w:space="0" w:color="auto"/>
        <w:right w:val="none" w:sz="0" w:space="0" w:color="auto"/>
      </w:divBdr>
    </w:div>
    <w:div w:id="570387632">
      <w:marLeft w:val="0"/>
      <w:marRight w:val="0"/>
      <w:marTop w:val="0"/>
      <w:marBottom w:val="0"/>
      <w:divBdr>
        <w:top w:val="none" w:sz="0" w:space="0" w:color="auto"/>
        <w:left w:val="none" w:sz="0" w:space="0" w:color="auto"/>
        <w:bottom w:val="none" w:sz="0" w:space="0" w:color="auto"/>
        <w:right w:val="none" w:sz="0" w:space="0" w:color="auto"/>
      </w:divBdr>
    </w:div>
    <w:div w:id="570387633">
      <w:marLeft w:val="0"/>
      <w:marRight w:val="0"/>
      <w:marTop w:val="0"/>
      <w:marBottom w:val="0"/>
      <w:divBdr>
        <w:top w:val="none" w:sz="0" w:space="0" w:color="auto"/>
        <w:left w:val="none" w:sz="0" w:space="0" w:color="auto"/>
        <w:bottom w:val="none" w:sz="0" w:space="0" w:color="auto"/>
        <w:right w:val="none" w:sz="0" w:space="0" w:color="auto"/>
      </w:divBdr>
      <w:divsChild>
        <w:div w:id="570387644">
          <w:marLeft w:val="0"/>
          <w:marRight w:val="0"/>
          <w:marTop w:val="150"/>
          <w:marBottom w:val="150"/>
          <w:divBdr>
            <w:top w:val="none" w:sz="0" w:space="0" w:color="auto"/>
            <w:left w:val="none" w:sz="0" w:space="0" w:color="auto"/>
            <w:bottom w:val="none" w:sz="0" w:space="0" w:color="auto"/>
            <w:right w:val="none" w:sz="0" w:space="0" w:color="auto"/>
          </w:divBdr>
        </w:div>
      </w:divsChild>
    </w:div>
    <w:div w:id="570387634">
      <w:marLeft w:val="0"/>
      <w:marRight w:val="0"/>
      <w:marTop w:val="0"/>
      <w:marBottom w:val="0"/>
      <w:divBdr>
        <w:top w:val="none" w:sz="0" w:space="0" w:color="auto"/>
        <w:left w:val="none" w:sz="0" w:space="0" w:color="auto"/>
        <w:bottom w:val="none" w:sz="0" w:space="0" w:color="auto"/>
        <w:right w:val="none" w:sz="0" w:space="0" w:color="auto"/>
      </w:divBdr>
    </w:div>
    <w:div w:id="570387635">
      <w:marLeft w:val="0"/>
      <w:marRight w:val="0"/>
      <w:marTop w:val="0"/>
      <w:marBottom w:val="0"/>
      <w:divBdr>
        <w:top w:val="none" w:sz="0" w:space="0" w:color="auto"/>
        <w:left w:val="none" w:sz="0" w:space="0" w:color="auto"/>
        <w:bottom w:val="none" w:sz="0" w:space="0" w:color="auto"/>
        <w:right w:val="none" w:sz="0" w:space="0" w:color="auto"/>
      </w:divBdr>
    </w:div>
    <w:div w:id="570387636">
      <w:marLeft w:val="0"/>
      <w:marRight w:val="0"/>
      <w:marTop w:val="0"/>
      <w:marBottom w:val="0"/>
      <w:divBdr>
        <w:top w:val="none" w:sz="0" w:space="0" w:color="auto"/>
        <w:left w:val="none" w:sz="0" w:space="0" w:color="auto"/>
        <w:bottom w:val="none" w:sz="0" w:space="0" w:color="auto"/>
        <w:right w:val="none" w:sz="0" w:space="0" w:color="auto"/>
      </w:divBdr>
    </w:div>
    <w:div w:id="570387637">
      <w:marLeft w:val="0"/>
      <w:marRight w:val="0"/>
      <w:marTop w:val="0"/>
      <w:marBottom w:val="0"/>
      <w:divBdr>
        <w:top w:val="none" w:sz="0" w:space="0" w:color="auto"/>
        <w:left w:val="none" w:sz="0" w:space="0" w:color="auto"/>
        <w:bottom w:val="none" w:sz="0" w:space="0" w:color="auto"/>
        <w:right w:val="none" w:sz="0" w:space="0" w:color="auto"/>
      </w:divBdr>
    </w:div>
    <w:div w:id="570387638">
      <w:marLeft w:val="0"/>
      <w:marRight w:val="0"/>
      <w:marTop w:val="0"/>
      <w:marBottom w:val="0"/>
      <w:divBdr>
        <w:top w:val="none" w:sz="0" w:space="0" w:color="auto"/>
        <w:left w:val="none" w:sz="0" w:space="0" w:color="auto"/>
        <w:bottom w:val="none" w:sz="0" w:space="0" w:color="auto"/>
        <w:right w:val="none" w:sz="0" w:space="0" w:color="auto"/>
      </w:divBdr>
    </w:div>
    <w:div w:id="570387639">
      <w:marLeft w:val="0"/>
      <w:marRight w:val="0"/>
      <w:marTop w:val="0"/>
      <w:marBottom w:val="0"/>
      <w:divBdr>
        <w:top w:val="none" w:sz="0" w:space="0" w:color="auto"/>
        <w:left w:val="none" w:sz="0" w:space="0" w:color="auto"/>
        <w:bottom w:val="none" w:sz="0" w:space="0" w:color="auto"/>
        <w:right w:val="none" w:sz="0" w:space="0" w:color="auto"/>
      </w:divBdr>
    </w:div>
    <w:div w:id="570387640">
      <w:marLeft w:val="0"/>
      <w:marRight w:val="0"/>
      <w:marTop w:val="0"/>
      <w:marBottom w:val="0"/>
      <w:divBdr>
        <w:top w:val="none" w:sz="0" w:space="0" w:color="auto"/>
        <w:left w:val="none" w:sz="0" w:space="0" w:color="auto"/>
        <w:bottom w:val="none" w:sz="0" w:space="0" w:color="auto"/>
        <w:right w:val="none" w:sz="0" w:space="0" w:color="auto"/>
      </w:divBdr>
    </w:div>
    <w:div w:id="570387641">
      <w:marLeft w:val="0"/>
      <w:marRight w:val="0"/>
      <w:marTop w:val="0"/>
      <w:marBottom w:val="0"/>
      <w:divBdr>
        <w:top w:val="none" w:sz="0" w:space="0" w:color="auto"/>
        <w:left w:val="none" w:sz="0" w:space="0" w:color="auto"/>
        <w:bottom w:val="none" w:sz="0" w:space="0" w:color="auto"/>
        <w:right w:val="none" w:sz="0" w:space="0" w:color="auto"/>
      </w:divBdr>
    </w:div>
    <w:div w:id="570387642">
      <w:marLeft w:val="0"/>
      <w:marRight w:val="0"/>
      <w:marTop w:val="0"/>
      <w:marBottom w:val="0"/>
      <w:divBdr>
        <w:top w:val="none" w:sz="0" w:space="0" w:color="auto"/>
        <w:left w:val="none" w:sz="0" w:space="0" w:color="auto"/>
        <w:bottom w:val="none" w:sz="0" w:space="0" w:color="auto"/>
        <w:right w:val="none" w:sz="0" w:space="0" w:color="auto"/>
      </w:divBdr>
    </w:div>
    <w:div w:id="570387643">
      <w:marLeft w:val="0"/>
      <w:marRight w:val="0"/>
      <w:marTop w:val="0"/>
      <w:marBottom w:val="0"/>
      <w:divBdr>
        <w:top w:val="none" w:sz="0" w:space="0" w:color="auto"/>
        <w:left w:val="none" w:sz="0" w:space="0" w:color="auto"/>
        <w:bottom w:val="none" w:sz="0" w:space="0" w:color="auto"/>
        <w:right w:val="none" w:sz="0" w:space="0" w:color="auto"/>
      </w:divBdr>
    </w:div>
    <w:div w:id="570387645">
      <w:marLeft w:val="0"/>
      <w:marRight w:val="0"/>
      <w:marTop w:val="0"/>
      <w:marBottom w:val="0"/>
      <w:divBdr>
        <w:top w:val="none" w:sz="0" w:space="0" w:color="auto"/>
        <w:left w:val="none" w:sz="0" w:space="0" w:color="auto"/>
        <w:bottom w:val="none" w:sz="0" w:space="0" w:color="auto"/>
        <w:right w:val="none" w:sz="0" w:space="0" w:color="auto"/>
      </w:divBdr>
    </w:div>
    <w:div w:id="570387646">
      <w:marLeft w:val="0"/>
      <w:marRight w:val="0"/>
      <w:marTop w:val="0"/>
      <w:marBottom w:val="0"/>
      <w:divBdr>
        <w:top w:val="none" w:sz="0" w:space="0" w:color="auto"/>
        <w:left w:val="none" w:sz="0" w:space="0" w:color="auto"/>
        <w:bottom w:val="none" w:sz="0" w:space="0" w:color="auto"/>
        <w:right w:val="none" w:sz="0" w:space="0" w:color="auto"/>
      </w:divBdr>
    </w:div>
    <w:div w:id="570387647">
      <w:marLeft w:val="0"/>
      <w:marRight w:val="0"/>
      <w:marTop w:val="0"/>
      <w:marBottom w:val="0"/>
      <w:divBdr>
        <w:top w:val="none" w:sz="0" w:space="0" w:color="auto"/>
        <w:left w:val="none" w:sz="0" w:space="0" w:color="auto"/>
        <w:bottom w:val="none" w:sz="0" w:space="0" w:color="auto"/>
        <w:right w:val="none" w:sz="0" w:space="0" w:color="auto"/>
      </w:divBdr>
    </w:div>
    <w:div w:id="570387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899-15"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2482</Words>
  <Characters>16452</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Закон України від 30</vt:lpstr>
    </vt:vector>
  </TitlesOfParts>
  <Company>Krokoz™</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України від 30</dc:title>
  <dc:creator>Максименко Лариса Петрівна</dc:creator>
  <cp:lastModifiedBy>Шевченко Володимир Олександрович</cp:lastModifiedBy>
  <cp:revision>4</cp:revision>
  <cp:lastPrinted>2021-12-22T06:12:00Z</cp:lastPrinted>
  <dcterms:created xsi:type="dcterms:W3CDTF">2022-01-11T12:15:00Z</dcterms:created>
  <dcterms:modified xsi:type="dcterms:W3CDTF">2022-01-11T14:08:00Z</dcterms:modified>
</cp:coreProperties>
</file>