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54" w:rsidRPr="00012425" w:rsidRDefault="001C56A8" w:rsidP="000124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ProbaPro" w:eastAsia="Times New Roman" w:hAnsi="ProbaPro" w:cs="Times New Roman"/>
          <w:sz w:val="16"/>
          <w:szCs w:val="16"/>
        </w:rPr>
      </w:pPr>
      <w:r>
        <w:rPr>
          <w:rFonts w:ascii="ProbaPro" w:eastAsia="Times New Roman" w:hAnsi="ProbaPro" w:cs="Times New Roman" w:hint="eastAsia"/>
          <w:color w:val="6C757D"/>
          <w:sz w:val="16"/>
          <w:szCs w:val="16"/>
          <w:lang w:val="uk-UA"/>
        </w:rPr>
        <w:t>‘</w:t>
      </w:r>
      <w:r w:rsidR="0087197E">
        <w:rPr>
          <w:rFonts w:ascii="ProbaPro" w:eastAsia="Times New Roman" w:hAnsi="ProbaPro" w:cs="Times New Roman"/>
          <w:color w:val="6C757D"/>
          <w:sz w:val="16"/>
          <w:szCs w:val="16"/>
          <w:lang w:val="uk-UA"/>
        </w:rPr>
        <w:t xml:space="preserve"> </w:t>
      </w:r>
    </w:p>
    <w:p w:rsidR="00012425" w:rsidRDefault="00012425" w:rsidP="00012425">
      <w:pPr>
        <w:pStyle w:val="a6"/>
        <w:ind w:left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:rsidR="00012425" w:rsidRDefault="00012425" w:rsidP="00012425">
      <w:pPr>
        <w:pStyle w:val="a6"/>
        <w:ind w:left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розпорядженням </w:t>
      </w:r>
      <w:proofErr w:type="spellStart"/>
      <w:r>
        <w:rPr>
          <w:sz w:val="24"/>
          <w:szCs w:val="24"/>
          <w:lang w:val="uk-UA"/>
        </w:rPr>
        <w:t>Роздольського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012425" w:rsidRDefault="00012425" w:rsidP="00012425">
      <w:pPr>
        <w:pStyle w:val="a6"/>
        <w:ind w:left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сільського голови</w:t>
      </w:r>
    </w:p>
    <w:p w:rsidR="00012425" w:rsidRDefault="00012425" w:rsidP="00012425">
      <w:pPr>
        <w:pStyle w:val="a6"/>
        <w:ind w:left="36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29.01. 2021 року №12</w:t>
      </w:r>
    </w:p>
    <w:p w:rsidR="00012425" w:rsidRDefault="00012425" w:rsidP="00012425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6C757D"/>
          <w:sz w:val="16"/>
          <w:szCs w:val="16"/>
          <w:lang w:val="uk-UA"/>
        </w:rPr>
      </w:pPr>
    </w:p>
    <w:p w:rsidR="00012425" w:rsidRPr="00012425" w:rsidRDefault="00012425" w:rsidP="00012425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sz w:val="16"/>
          <w:szCs w:val="16"/>
          <w:lang w:val="uk-UA"/>
        </w:rPr>
      </w:pPr>
    </w:p>
    <w:p w:rsidR="00012425" w:rsidRPr="0055526A" w:rsidRDefault="00012425" w:rsidP="00012425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sz w:val="16"/>
          <w:szCs w:val="16"/>
        </w:rPr>
      </w:pPr>
    </w:p>
    <w:p w:rsidR="00DC2D54" w:rsidRPr="0055526A" w:rsidRDefault="00DC2D54" w:rsidP="00DC2D54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spacing w:val="10"/>
          <w:sz w:val="28"/>
          <w:szCs w:val="28"/>
        </w:rPr>
      </w:pPr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 xml:space="preserve">Порядок </w:t>
      </w:r>
      <w:proofErr w:type="spellStart"/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>надання</w:t>
      </w:r>
      <w:proofErr w:type="spellEnd"/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>письмового</w:t>
      </w:r>
      <w:proofErr w:type="spellEnd"/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55526A">
        <w:rPr>
          <w:rFonts w:ascii="ProbaPro" w:eastAsia="Times New Roman" w:hAnsi="ProbaPro" w:cs="Times New Roman"/>
          <w:spacing w:val="10"/>
          <w:sz w:val="28"/>
          <w:szCs w:val="28"/>
        </w:rPr>
        <w:t>звернення</w:t>
      </w:r>
      <w:proofErr w:type="spellEnd"/>
    </w:p>
    <w:p w:rsidR="00DC2D54" w:rsidRPr="0055526A" w:rsidRDefault="00DC2D54" w:rsidP="00DC2D54">
      <w:pPr>
        <w:shd w:val="clear" w:color="auto" w:fill="FFFFFF"/>
        <w:spacing w:line="240" w:lineRule="atLeast"/>
        <w:jc w:val="center"/>
        <w:textAlignment w:val="baseline"/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</w:pPr>
      <w:proofErr w:type="spellStart"/>
      <w:r w:rsidRPr="0055526A">
        <w:rPr>
          <w:rFonts w:ascii="ProbaPro" w:eastAsia="Times New Roman" w:hAnsi="ProbaPro" w:cs="Times New Roman"/>
          <w:spacing w:val="5"/>
          <w:sz w:val="28"/>
          <w:szCs w:val="28"/>
        </w:rPr>
        <w:t>опубліковано</w:t>
      </w:r>
      <w:proofErr w:type="spellEnd"/>
      <w:r w:rsidRPr="0055526A">
        <w:rPr>
          <w:rFonts w:ascii="ProbaPro" w:eastAsia="Times New Roman" w:hAnsi="ProbaPro" w:cs="Times New Roman"/>
          <w:spacing w:val="5"/>
          <w:sz w:val="28"/>
          <w:szCs w:val="28"/>
        </w:rPr>
        <w:t xml:space="preserve"> </w:t>
      </w:r>
      <w:r w:rsidR="0087197E" w:rsidRPr="0055526A"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  <w:t xml:space="preserve"> </w:t>
      </w:r>
      <w:r w:rsidR="0055526A" w:rsidRPr="0055526A"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  <w:t>12.02.2021</w:t>
      </w:r>
    </w:p>
    <w:p w:rsidR="00DC2D54" w:rsidRPr="00EE1207" w:rsidRDefault="00DC2D54" w:rsidP="00DC2D5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Як подати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письмове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до </w:t>
      </w:r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Роздольської</w:t>
      </w:r>
      <w:proofErr w:type="spellEnd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сільської</w:t>
      </w:r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ради</w:t>
      </w:r>
      <w:proofErr w:type="gram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виконавч</w:t>
      </w:r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ого</w:t>
      </w:r>
      <w:proofErr w:type="spellEnd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комітету</w:t>
      </w:r>
      <w:proofErr w:type="spellEnd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Роздольської</w:t>
      </w:r>
      <w:proofErr w:type="spellEnd"/>
      <w:r w:rsidR="0087197E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сільської</w:t>
      </w:r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ради</w:t>
      </w:r>
    </w:p>
    <w:p w:rsidR="00DC2D54" w:rsidRPr="0087197E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Звернутися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керівництва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установи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згідно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“Про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”)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Ви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можете через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секретаря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виконавчого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розташований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адресою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: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с</w:t>
      </w:r>
      <w:proofErr w:type="gramStart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.Р</w:t>
      </w:r>
      <w:proofErr w:type="gramEnd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оздол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="0087197E">
        <w:rPr>
          <w:rFonts w:ascii="ProbaPro" w:eastAsia="Times New Roman" w:hAnsi="ProbaPro" w:cs="Times New Roman" w:hint="eastAsia"/>
          <w:color w:val="000000"/>
          <w:sz w:val="28"/>
          <w:szCs w:val="28"/>
          <w:lang w:val="uk-UA"/>
        </w:rPr>
        <w:t>вул.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40 років Перемоги, 49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примішення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с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ільської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Телефон: </w:t>
      </w:r>
      <w:r w:rsidR="0087197E" w:rsidRPr="0087197E">
        <w:rPr>
          <w:rFonts w:ascii="Times New Roman" w:hAnsi="Times New Roman" w:cs="Times New Roman"/>
          <w:color w:val="000000"/>
          <w:sz w:val="28"/>
          <w:szCs w:val="28"/>
          <w:lang w:val="uk-UA"/>
        </w:rPr>
        <w:t>06132</w:t>
      </w:r>
      <w:r w:rsidR="0087197E" w:rsidRPr="0087197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7197E" w:rsidRPr="0087197E">
        <w:rPr>
          <w:rFonts w:ascii="Times New Roman" w:hAnsi="Times New Roman" w:cs="Times New Roman"/>
          <w:color w:val="000000"/>
          <w:sz w:val="28"/>
          <w:szCs w:val="28"/>
          <w:lang w:val="uk-UA"/>
        </w:rPr>
        <w:t>2.80.23</w:t>
      </w:r>
      <w:r w:rsidR="0087197E" w:rsidRPr="008719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197E" w:rsidRPr="007B60B6">
        <w:rPr>
          <w:color w:val="000000"/>
        </w:rPr>
        <w:t xml:space="preserve">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також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можете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надіслат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и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листа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поштою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адресою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: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72012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с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>вул</w:t>
      </w:r>
      <w:proofErr w:type="spellEnd"/>
      <w:r w:rsidR="0087197E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40 років Перемоги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r w:rsidR="0087197E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4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9 та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електронну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адресу: </w:t>
      </w:r>
      <w:r w:rsidR="0087197E" w:rsidRPr="00871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197E" w:rsidRPr="0087197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rozdolss@meta.ua</w:t>
      </w:r>
    </w:p>
    <w:p w:rsidR="00DC2D54" w:rsidRPr="00EE1207" w:rsidRDefault="00DC2D54" w:rsidP="00DC2D5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ПРИКЛАД НАПИСАННЯ ЗВЕРНЕННЯ</w:t>
      </w:r>
    </w:p>
    <w:tbl>
      <w:tblPr>
        <w:tblW w:w="8473" w:type="dxa"/>
        <w:tblCellMar>
          <w:left w:w="0" w:type="dxa"/>
          <w:right w:w="0" w:type="dxa"/>
        </w:tblCellMar>
        <w:tblLook w:val="04A0"/>
      </w:tblPr>
      <w:tblGrid>
        <w:gridCol w:w="3639"/>
        <w:gridCol w:w="2721"/>
        <w:gridCol w:w="2620"/>
      </w:tblGrid>
      <w:tr w:rsidR="00DC2D54" w:rsidRPr="00EE1207" w:rsidTr="00DC2D54">
        <w:tc>
          <w:tcPr>
            <w:tcW w:w="2827" w:type="dxa"/>
            <w:tcBorders>
              <w:lef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  <w:tc>
          <w:tcPr>
            <w:tcW w:w="3407" w:type="dxa"/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  <w:tc>
          <w:tcPr>
            <w:tcW w:w="2233" w:type="dxa"/>
            <w:tcBorders>
              <w:righ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100" w:line="24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</w:pP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Селищному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голові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(заступнику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голови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)</w:t>
            </w:r>
          </w:p>
          <w:p w:rsidR="00DC2D54" w:rsidRPr="00EE1207" w:rsidRDefault="00DC2D54" w:rsidP="00DC2D54">
            <w:pPr>
              <w:spacing w:after="100" w:line="24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ізвище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ініціали</w:t>
            </w:r>
            <w:proofErr w:type="spellEnd"/>
          </w:p>
          <w:p w:rsidR="00DC2D54" w:rsidRPr="00EE1207" w:rsidRDefault="00DC2D54" w:rsidP="00DC2D54">
            <w:pPr>
              <w:spacing w:after="100" w:line="24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</w:pPr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П.І.Б.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заявника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повністю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який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мешкає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: (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вказати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повну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адресу</w:t>
            </w:r>
            <w:proofErr w:type="gram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ключити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поштовий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індекс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), 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соціальний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статус (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пенсіонер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ветеран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праці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ветеран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війни,учасник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бойових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якщо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інвалід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то яка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багатодітна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мати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мати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одиночка,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тимчасово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працює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робітник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вчитель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і.т.д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.),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контактний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 xml:space="preserve"> телефон).</w:t>
            </w:r>
          </w:p>
        </w:tc>
      </w:tr>
      <w:tr w:rsidR="00DC2D54" w:rsidRPr="00EE1207" w:rsidTr="00DC2D54">
        <w:tc>
          <w:tcPr>
            <w:tcW w:w="0" w:type="auto"/>
            <w:tcBorders>
              <w:lef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</w:pPr>
            <w:r w:rsidRPr="00EE1207">
              <w:rPr>
                <w:rFonts w:ascii="ProbaPro" w:eastAsia="Times New Roman" w:hAnsi="ProbaPro" w:cs="Times New Roman"/>
                <w:b/>
                <w:bCs/>
                <w:color w:val="000000"/>
                <w:sz w:val="28"/>
                <w:szCs w:val="28"/>
              </w:rPr>
              <w:t xml:space="preserve">ЗАЯВА, СКАРГА, </w:t>
            </w:r>
            <w:r w:rsidRPr="00EE1207">
              <w:rPr>
                <w:rFonts w:ascii="ProbaPro" w:eastAsia="Times New Roman" w:hAnsi="ProbaPro" w:cs="Times New Roman"/>
                <w:b/>
                <w:bCs/>
                <w:color w:val="000000"/>
                <w:sz w:val="28"/>
                <w:szCs w:val="28"/>
              </w:rPr>
              <w:lastRenderedPageBreak/>
              <w:t>ПРОПОЗИЦІЯ</w:t>
            </w:r>
            <w:r w:rsidRPr="00EE1207">
              <w:rPr>
                <w:rFonts w:ascii="ProbaPro" w:eastAsia="Times New Roman" w:hAnsi="ProbaPro" w:cs="Times New Roman"/>
                <w:color w:val="000000"/>
                <w:sz w:val="28"/>
                <w:szCs w:val="28"/>
              </w:rPr>
              <w:t> </w:t>
            </w:r>
            <w:r w:rsidRPr="00EE1207">
              <w:rPr>
                <w:rFonts w:ascii="ProbaPro" w:eastAsia="Times New Roman" w:hAnsi="ProbaPro" w:cs="Times New Roman"/>
                <w:b/>
                <w:bCs/>
                <w:color w:val="000000"/>
                <w:sz w:val="28"/>
                <w:szCs w:val="28"/>
              </w:rPr>
              <w:t>ЧИ ІНФОРМАЦІЙНИЙ ЗАПИТ</w:t>
            </w: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</w:tr>
      <w:tr w:rsidR="00DC2D54" w:rsidRPr="00EE1207" w:rsidTr="00DC2D54">
        <w:tc>
          <w:tcPr>
            <w:tcW w:w="8467" w:type="dxa"/>
            <w:gridSpan w:val="3"/>
            <w:tcBorders>
              <w:left w:val="nil"/>
              <w:righ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lastRenderedPageBreak/>
              <w:t>Написати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 суть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порушеного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питання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зауваження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пропозиції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, заяви,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скарги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інформаційного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запиту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.</w:t>
            </w:r>
          </w:p>
        </w:tc>
      </w:tr>
      <w:tr w:rsidR="00DC2D54" w:rsidRPr="00EE1207" w:rsidTr="00DC2D54">
        <w:tc>
          <w:tcPr>
            <w:tcW w:w="0" w:type="auto"/>
            <w:tcBorders>
              <w:lef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„____”______________201_р.</w:t>
            </w:r>
          </w:p>
        </w:tc>
        <w:tc>
          <w:tcPr>
            <w:tcW w:w="0" w:type="auto"/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__________________</w:t>
            </w:r>
          </w:p>
        </w:tc>
      </w:tr>
      <w:tr w:rsidR="00DC2D54" w:rsidRPr="00EE1207" w:rsidTr="00DC2D54">
        <w:tc>
          <w:tcPr>
            <w:tcW w:w="0" w:type="auto"/>
            <w:tcBorders>
              <w:lef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Дата (число, </w:t>
            </w: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місяць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р</w:t>
            </w:r>
            <w:proofErr w:type="gram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ік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50" w:type="dxa"/>
              <w:bottom w:w="150" w:type="dxa"/>
              <w:right w:w="50" w:type="dxa"/>
            </w:tcMar>
            <w:hideMark/>
          </w:tcPr>
          <w:p w:rsidR="00DC2D54" w:rsidRPr="00EE1207" w:rsidRDefault="00DC2D54" w:rsidP="00DC2D54">
            <w:pPr>
              <w:spacing w:after="0" w:line="240" w:lineRule="atLeast"/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</w:pPr>
            <w:proofErr w:type="spell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особистий</w:t>
            </w:r>
            <w:proofErr w:type="spell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п</w:t>
            </w:r>
            <w:proofErr w:type="gramEnd"/>
            <w:r w:rsidRPr="00EE1207">
              <w:rPr>
                <w:rFonts w:ascii="ProbaPro" w:eastAsia="Times New Roman" w:hAnsi="ProbaPro" w:cs="Times New Roman"/>
                <w:color w:val="212529"/>
                <w:sz w:val="28"/>
                <w:szCs w:val="28"/>
              </w:rPr>
              <w:t>ідпис</w:t>
            </w:r>
            <w:proofErr w:type="spellEnd"/>
          </w:p>
        </w:tc>
      </w:tr>
    </w:tbl>
    <w:p w:rsidR="0087197E" w:rsidRDefault="0087197E" w:rsidP="0087197E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</w:p>
    <w:p w:rsidR="00DC2D54" w:rsidRDefault="00DC2D54" w:rsidP="0087197E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до</w:t>
      </w:r>
      <w:proofErr w:type="gram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, право, яке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гарантоване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Конституцією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України</w:t>
      </w:r>
      <w:proofErr w:type="spellEnd"/>
    </w:p>
    <w:p w:rsidR="0087197E" w:rsidRPr="0087197E" w:rsidRDefault="0087197E" w:rsidP="0087197E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одним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засобів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захисту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інтересів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закріплено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Основним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де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направляти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індивідуальні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колективні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особисто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звертатися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службових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зобов'язані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розглянути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обґрунтовану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встановлений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строк.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–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викладені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усній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формі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зауваження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), заяви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клопотання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За формами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розрізняють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індивідуальне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колективне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Для того,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могло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розглянуте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нього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було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дано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воно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оформлене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належним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чином.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треба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зазначити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ізвище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ім'я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по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батькові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звернувся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;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; суть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;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зауваження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заяви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прохання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вимоги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також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обов'язково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ставиться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ідпис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зазначенням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Не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ідписане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підписане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таким чином,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нього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неможливо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встановити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авторство,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вважається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анонімним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підлягає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    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можуть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додавати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довідкові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матеріали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оригіналах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копіях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оформлене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без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дотримання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перелічених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вимог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повертається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відповідними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роз'ясненнями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 правило, не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ізніше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ніж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через 10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дня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надходження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звертатися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тих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залежить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цього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отриманому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входять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повноважень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адресата,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пересилається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належністю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органу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строк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більше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п'яти</w:t>
      </w:r>
      <w:proofErr w:type="spellEnd"/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повідомлятися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подав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При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цьому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можуть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lastRenderedPageBreak/>
        <w:t>направлятися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для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тому органу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підлягають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оскарженню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отримав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своє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статті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55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Конституції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оскарження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суді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ішень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бездіяльності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службових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Водночас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юридичних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регламентуватися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“Про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”,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оскільки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Цивільно-процесуального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Адміністративного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Господарсько-процесуального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Кодексів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бездіяльність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об’єднань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незалежно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форм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власності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засобів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масової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інформації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розглядатися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тільки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судом,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окрім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випадку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передбаченого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статтею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85 Закону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“Про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виконавче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провадження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”.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безпосередньо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передбачено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юридичних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фізичних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оскаржувати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бездіяльність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виконавці</w:t>
      </w:r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</w:t>
      </w:r>
      <w:proofErr w:type="spellEnd"/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Довідка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: </w:t>
      </w:r>
      <w:proofErr w:type="gram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Порядок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практичної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реалізації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громадянами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наданого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їм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Конституцією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права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вносити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органи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об'єднання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відповідно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статуту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пропозиції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поліпшення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діяльності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викривати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недоліки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роботі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оскаржувати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дії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державних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громадських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регулюється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Законом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“Про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”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2</w:t>
      </w:r>
      <w:proofErr w:type="gram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жовтня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1996 року №393/96-ВР,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змінами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доповненнями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внесеними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Законами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13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травня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1999 року №653-XIV,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20 листопада 2003 року №1294-IV,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20 </w:t>
      </w:r>
      <w:proofErr w:type="spellStart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>січня</w:t>
      </w:r>
      <w:proofErr w:type="spellEnd"/>
      <w:r w:rsidRPr="00EE1207">
        <w:rPr>
          <w:rFonts w:ascii="ProbaPro" w:eastAsia="Times New Roman" w:hAnsi="ProbaPro" w:cs="Times New Roman"/>
          <w:i/>
          <w:iCs/>
          <w:color w:val="000000"/>
          <w:sz w:val="28"/>
          <w:szCs w:val="28"/>
        </w:rPr>
        <w:t xml:space="preserve"> 2005 року №2384-IV.</w:t>
      </w:r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направляти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індивідуальні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колективні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особисто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звертатися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до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службових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зобов’язані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розглянути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обґрунтовану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встановлений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законом строк.</w:t>
      </w:r>
    </w:p>
    <w:p w:rsidR="00DC2D54" w:rsidRPr="00012425" w:rsidRDefault="00C52048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hyperlink r:id="rId5" w:anchor="n4291" w:tgtFrame="_blank" w:history="1"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(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Конституція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України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ст. 40)</w:t>
        </w:r>
      </w:hyperlink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          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слід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розуміти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викладені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усній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формі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зауваження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), заяви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клопотання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Пропозиція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зауваження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)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-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де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висловлюються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порада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рекомендація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діяльності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депутатів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усіх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івнів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також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висловлюються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думки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врегулювання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суспільних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відносин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умов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життя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вдосконалення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правової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основи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громадського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життя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соціально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-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культурної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інших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сфер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діяльності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суспільства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Заява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клопотання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)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-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проханням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сприяння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реалізації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закріплених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Конституцією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чинним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законодавством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інтересів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повідомлення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чинного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недоліки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діяльності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незалежно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форм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власності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народних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депутатів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депутатів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також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висловлення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думки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поліпшення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діяльності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Клопотання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проханням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визнання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собою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статусу, прав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свобод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тощо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Скарга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-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вимогою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поновлення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захист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інтересів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діями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бездіяльністю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ішеннями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підприємств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об'єднань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(ст. 3 Закону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"Про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")</w:t>
      </w:r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Вимоги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звернення</w:t>
      </w:r>
      <w:proofErr w:type="spellEnd"/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адресуються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органам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установам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незалежно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форм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власності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об’єднанням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ідприємствам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особам,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повноважень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належить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 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ізвище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ім’я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по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батькові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викладено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суть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зауваження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заяви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прохання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вимоги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 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надісланим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поштою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переданим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громадянином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особисто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через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уповноважену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ним особу,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повноваження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оформлені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чинного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електронне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надсилається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адресу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електронної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пошти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 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подано як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окремою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особою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індивідуальне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), так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групою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колективне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повинно бути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ідписано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заявником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заявниками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зазначенням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012425" w:rsidRDefault="00C52048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hyperlink r:id="rId6" w:anchor="n28" w:tgtFrame="_blank" w:history="1"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(ст. 5 Закону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України</w:t>
        </w:r>
        <w:proofErr w:type="spellEnd"/>
        <w:proofErr w:type="gram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„П</w:t>
        </w:r>
        <w:proofErr w:type="gram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ро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звернення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громадян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”).</w:t>
        </w:r>
      </w:hyperlink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які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ідлягають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вирішенню</w:t>
      </w:r>
      <w:proofErr w:type="spellEnd"/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без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зазначення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не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ідписане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автором (авторами), 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також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таке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неможливо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встановити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авторство,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визнається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анонімним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підлягає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 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розглядаються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повторні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одним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тим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же органом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того ж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того ж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перше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вирішене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суті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та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визнаних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судом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недієздатними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припинення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такого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приймає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керівник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органу,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повідомляється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яка подала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DC2D54" w:rsidRPr="00EE1207" w:rsidRDefault="00C52048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hyperlink r:id="rId7" w:anchor="n45" w:tgtFrame="_blank" w:history="1"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(ст. 8 Закону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України</w:t>
        </w:r>
        <w:proofErr w:type="spellEnd"/>
        <w:proofErr w:type="gram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„П</w:t>
        </w:r>
        <w:proofErr w:type="gram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ро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звернення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громадян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”)</w:t>
        </w:r>
        <w:r w:rsidR="00DC2D54" w:rsidRPr="00EE1207">
          <w:rPr>
            <w:rFonts w:ascii="ProbaPro" w:eastAsia="Times New Roman" w:hAnsi="ProbaPro" w:cs="Times New Roman"/>
            <w:b/>
            <w:bCs/>
            <w:color w:val="2D5CA6"/>
            <w:sz w:val="28"/>
            <w:szCs w:val="28"/>
            <w:u w:val="single"/>
          </w:rPr>
          <w:t>.</w:t>
        </w:r>
      </w:hyperlink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            </w:t>
      </w: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Права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громадянина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при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розгляді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заяви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скарги</w:t>
      </w:r>
      <w:proofErr w:type="spellEnd"/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звернувся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заявою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скаргою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установ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незалежно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форм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власності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об'єднань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засобів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масової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інформації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право: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особисто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викласти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аргументи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особі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перевіряла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заяву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та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брати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участь </w:t>
      </w:r>
      <w:proofErr w:type="gram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у</w:t>
      </w:r>
      <w:proofErr w:type="gram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перевірці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поданої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заяви;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знайомитися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матеріалами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перев</w:t>
      </w:r>
      <w:proofErr w:type="gram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ірки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подавати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додаткові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матер</w:t>
      </w:r>
      <w:proofErr w:type="gram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іали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наполягати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на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запиті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органом,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який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розглядає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заяву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бути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присутнім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при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розгляді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заяви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lastRenderedPageBreak/>
        <w:t>користуватися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послугами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адвоката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представника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трудового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колективу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організації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яка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здійснює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правозахисну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функцію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оформивши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це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уповноваження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встановленому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законом порядку;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одержати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письмову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відповідь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про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результати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заяви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висловлювати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усно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письмово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вимогу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щодо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дотримання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таємниці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заяви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чи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скарги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;</w:t>
      </w:r>
    </w:p>
    <w:p w:rsidR="00DC2D54" w:rsidRPr="00EE1207" w:rsidRDefault="00DC2D54" w:rsidP="0087197E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-150"/>
        <w:jc w:val="both"/>
        <w:textAlignment w:val="baseline"/>
        <w:rPr>
          <w:rFonts w:ascii="ProbaPro" w:eastAsia="Times New Roman" w:hAnsi="ProbaPro" w:cs="Times New Roman"/>
          <w:color w:val="212529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вимагати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відшкодування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збитків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gram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вони</w:t>
      </w:r>
      <w:proofErr w:type="gram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стали результатом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порушень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встановленого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порядку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звернень</w:t>
      </w:r>
      <w:proofErr w:type="spellEnd"/>
      <w:r w:rsidRPr="00EE1207">
        <w:rPr>
          <w:rFonts w:ascii="ProbaPro" w:eastAsia="Times New Roman" w:hAnsi="ProbaPro" w:cs="Times New Roman"/>
          <w:color w:val="212529"/>
          <w:sz w:val="28"/>
          <w:szCs w:val="28"/>
        </w:rPr>
        <w:t>.</w:t>
      </w:r>
    </w:p>
    <w:p w:rsidR="00DC2D54" w:rsidRPr="00012425" w:rsidRDefault="00C52048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hyperlink r:id="rId8" w:anchor="n82" w:tgtFrame="_blank" w:history="1"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(ст. 18 Закону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України</w:t>
        </w:r>
        <w:proofErr w:type="spellEnd"/>
        <w:proofErr w:type="gram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„П</w:t>
        </w:r>
        <w:proofErr w:type="gram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ро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звернення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громадян</w:t>
        </w:r>
        <w:proofErr w:type="spellEnd"/>
        <w:r w:rsidR="00DC2D54"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”)</w:t>
        </w:r>
      </w:hyperlink>
    </w:p>
    <w:p w:rsidR="00DC2D54" w:rsidRPr="00EE1207" w:rsidRDefault="00DC2D54" w:rsidP="0087197E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звернень</w:t>
      </w:r>
      <w:proofErr w:type="spellEnd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громадян</w:t>
      </w:r>
      <w:proofErr w:type="spellEnd"/>
    </w:p>
    <w:p w:rsidR="00DC2D54" w:rsidRPr="00EE1207" w:rsidRDefault="00DC2D54" w:rsidP="0087197E">
      <w:pPr>
        <w:shd w:val="clear" w:color="auto" w:fill="FFFFFF"/>
        <w:spacing w:after="15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розглядаються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вирішуються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більше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одного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місяця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дня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надходження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потребують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додаткового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вивчення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невідкладно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але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пізніше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п’ятнадцяти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дня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отримання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місячний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вирішити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неможливо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керівник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відповідного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органу,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ідприємства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установи,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організації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заступник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встановлюють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необхідний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для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про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повідомляється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особі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яка подала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При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цьому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загальний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вирішення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питань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порушених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не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перевищувати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сорока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п’яти</w:t>
      </w:r>
      <w:proofErr w:type="spellEnd"/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. На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обґрунтовану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письмову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вимогу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скорочено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встановленого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цією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статтею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строку.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встановлені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законодавством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ільги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розглядаються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першочерговому</w:t>
      </w:r>
      <w:proofErr w:type="spellEnd"/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порядку.</w:t>
      </w:r>
    </w:p>
    <w:p w:rsidR="00DC2D54" w:rsidRPr="00012425" w:rsidRDefault="00DC2D54" w:rsidP="0087197E">
      <w:pPr>
        <w:shd w:val="clear" w:color="auto" w:fill="FFFFFF"/>
        <w:spacing w:after="0" w:line="240" w:lineRule="auto"/>
        <w:jc w:val="right"/>
        <w:textAlignment w:val="baseline"/>
        <w:rPr>
          <w:rFonts w:ascii="ProbaPro" w:eastAsia="Times New Roman" w:hAnsi="ProbaPro" w:cs="Times New Roman"/>
          <w:sz w:val="28"/>
          <w:szCs w:val="28"/>
        </w:rPr>
      </w:pPr>
      <w:r w:rsidRPr="00EE1207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r w:rsidRPr="00EE1207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                          </w:t>
      </w:r>
      <w:r w:rsidR="0087197E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     </w:t>
      </w:r>
      <w:r w:rsidR="0087197E" w:rsidRPr="00012425">
        <w:rPr>
          <w:rFonts w:ascii="ProbaPro" w:eastAsia="Times New Roman" w:hAnsi="ProbaPro" w:cs="Times New Roman"/>
          <w:b/>
          <w:bCs/>
          <w:sz w:val="28"/>
          <w:szCs w:val="28"/>
        </w:rPr>
        <w:t xml:space="preserve">      </w:t>
      </w:r>
      <w:r w:rsidRPr="00012425">
        <w:rPr>
          <w:rFonts w:ascii="ProbaPro" w:eastAsia="Times New Roman" w:hAnsi="ProbaPro" w:cs="Times New Roman"/>
          <w:b/>
          <w:bCs/>
          <w:sz w:val="28"/>
          <w:szCs w:val="28"/>
        </w:rPr>
        <w:t> </w:t>
      </w:r>
      <w:hyperlink r:id="rId9" w:anchor="n106" w:tgtFrame="_blank" w:history="1"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(ст. 20 Закону </w:t>
        </w:r>
        <w:proofErr w:type="spellStart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України</w:t>
        </w:r>
        <w:proofErr w:type="spellEnd"/>
        <w:proofErr w:type="gramStart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„П</w:t>
        </w:r>
        <w:proofErr w:type="gramEnd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ро </w:t>
        </w:r>
        <w:proofErr w:type="spellStart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звернення</w:t>
        </w:r>
        <w:proofErr w:type="spellEnd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громадян</w:t>
        </w:r>
        <w:proofErr w:type="spellEnd"/>
        <w:r w:rsidRPr="00012425">
          <w:rPr>
            <w:rFonts w:ascii="ProbaPro" w:eastAsia="Times New Roman" w:hAnsi="ProbaPro" w:cs="Times New Roman"/>
            <w:b/>
            <w:bCs/>
            <w:sz w:val="28"/>
            <w:szCs w:val="28"/>
            <w:u w:val="single"/>
          </w:rPr>
          <w:t>”)</w:t>
        </w:r>
      </w:hyperlink>
    </w:p>
    <w:p w:rsidR="00B40993" w:rsidRPr="00EE1207" w:rsidRDefault="00B40993" w:rsidP="0087197E">
      <w:pPr>
        <w:jc w:val="right"/>
        <w:rPr>
          <w:sz w:val="28"/>
          <w:szCs w:val="28"/>
        </w:rPr>
      </w:pPr>
    </w:p>
    <w:sectPr w:rsidR="00B40993" w:rsidRPr="00EE1207" w:rsidSect="000124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3989"/>
    <w:multiLevelType w:val="multilevel"/>
    <w:tmpl w:val="FBD2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23619"/>
    <w:multiLevelType w:val="multilevel"/>
    <w:tmpl w:val="39D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54"/>
    <w:rsid w:val="00012425"/>
    <w:rsid w:val="00052A7D"/>
    <w:rsid w:val="001C56A8"/>
    <w:rsid w:val="0055526A"/>
    <w:rsid w:val="00856C89"/>
    <w:rsid w:val="0087197E"/>
    <w:rsid w:val="00B40993"/>
    <w:rsid w:val="00BA0542"/>
    <w:rsid w:val="00C1470A"/>
    <w:rsid w:val="00C52048"/>
    <w:rsid w:val="00DC2D54"/>
    <w:rsid w:val="00EE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0A"/>
  </w:style>
  <w:style w:type="paragraph" w:styleId="3">
    <w:name w:val="heading 3"/>
    <w:basedOn w:val="a"/>
    <w:link w:val="30"/>
    <w:uiPriority w:val="9"/>
    <w:qFormat/>
    <w:rsid w:val="00DC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D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C2D54"/>
    <w:rPr>
      <w:b/>
      <w:bCs/>
    </w:rPr>
  </w:style>
  <w:style w:type="paragraph" w:styleId="a4">
    <w:name w:val="Normal (Web)"/>
    <w:basedOn w:val="a"/>
    <w:uiPriority w:val="99"/>
    <w:unhideWhenUsed/>
    <w:rsid w:val="00DC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C2D54"/>
    <w:rPr>
      <w:i/>
      <w:iCs/>
    </w:rPr>
  </w:style>
  <w:style w:type="paragraph" w:styleId="a6">
    <w:name w:val="No Spacing"/>
    <w:uiPriority w:val="1"/>
    <w:qFormat/>
    <w:rsid w:val="0001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0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285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89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64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519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3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93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93/96-%D0%B2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93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1628</Words>
  <Characters>9284</Characters>
  <Application>Microsoft Office Word</Application>
  <DocSecurity>0</DocSecurity>
  <Lines>77</Lines>
  <Paragraphs>21</Paragraphs>
  <ScaleCrop>false</ScaleCrop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2021-02-12T08:23:00Z</cp:lastPrinted>
  <dcterms:created xsi:type="dcterms:W3CDTF">2021-02-02T06:47:00Z</dcterms:created>
  <dcterms:modified xsi:type="dcterms:W3CDTF">2021-02-12T08:23:00Z</dcterms:modified>
</cp:coreProperties>
</file>